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77777777" w:rsidR="00144392" w:rsidRDefault="00B212C3">
      <w:pPr>
        <w:jc w:val="center"/>
      </w:pPr>
      <w:bookmarkStart w:id="0" w:name="_GoBack"/>
      <w:bookmarkEnd w:id="0"/>
      <w:r>
        <w:rPr>
          <w:b/>
          <w:bCs/>
          <w:sz w:val="28"/>
          <w:szCs w:val="28"/>
        </w:rPr>
        <w:t>ПОЛІТИКА КОНФІДЕНЦІЙНОСТІ ТА ЗАХИСТУ ПЕРСОНАЛЬНИХ ДАНИХ</w:t>
      </w:r>
    </w:p>
    <w:p w14:paraId="00000003" w14:textId="77777777" w:rsidR="00144392" w:rsidRDefault="00B212C3">
      <w:pPr>
        <w:jc w:val="center"/>
      </w:pPr>
      <w:r>
        <w:rPr>
          <w:i/>
          <w:iCs/>
        </w:rPr>
        <w:t>редакція V4.0 станом на 17 серпня 2026 року</w:t>
      </w:r>
    </w:p>
    <w:p w14:paraId="00000004" w14:textId="77777777" w:rsidR="00144392" w:rsidRDefault="00B212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Ця Політика конфіденційності та захисту персональних даних (далі - «Політика») визначає порядок, принципи та умови обробки і захисту персональних даних фізичних осіб Товариством з обмеженою відповідальністю «ПАТІ ПЛЕНЕТ» у зв’язку з використанням вебсайту </w:t>
      </w:r>
      <w:r>
        <w:rPr>
          <w:sz w:val="24"/>
          <w:szCs w:val="24"/>
        </w:rPr>
        <w:t>https://partypoker.ua, реєстрацією та користуванням Особистим кабінетом, проходженням ідентифікації (верифікації, встановлення даних), участю в азартних іграх казино в мережі Інтернет та азартних іграх у покер у мережі Інтернет, встановленням та дотримання</w:t>
      </w:r>
      <w:r>
        <w:rPr>
          <w:sz w:val="24"/>
          <w:szCs w:val="24"/>
        </w:rPr>
        <w:t>м лімітів відповідальної гри, здійсненням розрахунків, зверненням до служби підтримки та іншою взаємодією з Товариством.</w:t>
      </w:r>
    </w:p>
    <w:p w14:paraId="00000005" w14:textId="77777777" w:rsidR="00144392" w:rsidRDefault="00B212C3">
      <w:pPr>
        <w:jc w:val="both"/>
        <w:rPr>
          <w:sz w:val="24"/>
          <w:szCs w:val="24"/>
        </w:rPr>
      </w:pPr>
      <w:r>
        <w:rPr>
          <w:sz w:val="24"/>
          <w:szCs w:val="24"/>
        </w:rPr>
        <w:t>Політика розроблена відповідно до Конституції України, Закону України «Про захист персональних даних» № 2297-VI у редакції від 14.06.20</w:t>
      </w:r>
      <w:r>
        <w:rPr>
          <w:sz w:val="24"/>
          <w:szCs w:val="24"/>
        </w:rPr>
        <w:t>25, чинній станом на 17.08.2026, Закону України «Про державне регулювання діяльності щодо організації та проведення азартних ігор» № 768-IX у редакції від 12.09.2025, чинній станом на 17.08.2026, Закону України «Про інформацію», Закону України «Про електро</w:t>
      </w:r>
      <w:r>
        <w:rPr>
          <w:sz w:val="24"/>
          <w:szCs w:val="24"/>
        </w:rPr>
        <w:t>нну ідентифікацію та електронні довірчі послуги», законодавства у сфері запобігання та протидії легалізації (відмиванню) доходів, Ліцензійних умов провадження діяльності у сфері організації та проведення азартних ігор казино в мережі Інтернет та Ліцензійни</w:t>
      </w:r>
      <w:r>
        <w:rPr>
          <w:sz w:val="24"/>
          <w:szCs w:val="24"/>
        </w:rPr>
        <w:t>х умов провадження діяльності у сфері організації та проведення азартних ігор у покер у мережі Інтернет, нормативно-правових актів у сфері відповідальної гри та інших актів законодавства, застосовних до діяльності Товариства.</w:t>
      </w:r>
    </w:p>
    <w:p w14:paraId="00000006" w14:textId="77777777" w:rsidR="00144392" w:rsidRDefault="00B212C3">
      <w:pPr>
        <w:jc w:val="both"/>
        <w:rPr>
          <w:sz w:val="24"/>
          <w:szCs w:val="24"/>
        </w:rPr>
      </w:pPr>
      <w:r>
        <w:rPr>
          <w:sz w:val="24"/>
          <w:szCs w:val="24"/>
        </w:rPr>
        <w:t>Політика є публічною та розміщ</w:t>
      </w:r>
      <w:r>
        <w:rPr>
          <w:sz w:val="24"/>
          <w:szCs w:val="24"/>
        </w:rPr>
        <w:t>ується на Вебсайті. Вона застосовується разом із Правилами організатора азартних ігор, Правилами проведення та участі в азартних іграх казино в мережі Інтернет, Правилами проведення азартних ігор у покер у мережі Інтернет, документами з фінансового монітор</w:t>
      </w:r>
      <w:r>
        <w:rPr>
          <w:sz w:val="24"/>
          <w:szCs w:val="24"/>
        </w:rPr>
        <w:t>ингу, Принципами відповідальної гри та окремими повідомленнями про обробку персональних даних, якщо надання такого повідомлення вимагається законом або характером відповідної операції.</w:t>
      </w:r>
    </w:p>
    <w:p w14:paraId="00000007" w14:textId="77777777" w:rsidR="00144392" w:rsidRDefault="00B212C3">
      <w:pPr>
        <w:pStyle w:val="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 ЗАГАЛЬНІ ПОЛОЖЕННЯ</w:t>
      </w:r>
    </w:p>
    <w:p w14:paraId="00000008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1.1. Володільцем персональних даних є Товариство </w:t>
      </w:r>
      <w:r>
        <w:rPr>
          <w:b/>
          <w:bCs/>
          <w:sz w:val="24"/>
          <w:szCs w:val="24"/>
        </w:rPr>
        <w:t>з обмеженою відповідальністю «ПАТІ ПЛЕНЕТ», код ЄДРПОУ 45499398, місцезнаходження: Україна, 01054, місто Київ, вул. Хмельницького Богдана (Шевченківський р-н), будинок 59-Б, офіс 6 (далі - «Товариство», «Компанія» або «Організатор»).</w:t>
      </w:r>
    </w:p>
    <w:p w14:paraId="00000009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1.2. Товариство здійсн</w:t>
      </w:r>
      <w:r>
        <w:rPr>
          <w:b/>
          <w:bCs/>
          <w:sz w:val="24"/>
          <w:szCs w:val="24"/>
        </w:rPr>
        <w:t>ює два окремі ліцензовані види діяльності: організацію та проведення азартних ігор казино в мережі Інтернет на підставі ліцензії, виданої 25 вересня 2024 року відповідно до рішення Комісії з регулювання азартних ігор та лотерей від 19 вересня 2024 року № 4</w:t>
      </w:r>
      <w:r>
        <w:rPr>
          <w:b/>
          <w:bCs/>
          <w:sz w:val="24"/>
          <w:szCs w:val="24"/>
        </w:rPr>
        <w:t>47, та організацію і проведення азартних ігор у покер у мережі Інтернет на підставі ліцензії, виданої 26 травня 2026 року відповідно до рішення Державного агентства України ПлейСіті від 14 травня 2026 року № 187-Р.</w:t>
      </w:r>
    </w:p>
    <w:p w14:paraId="0000000A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1.3. Офіційний вебсайт, через який Товари</w:t>
      </w:r>
      <w:r>
        <w:rPr>
          <w:b/>
          <w:bCs/>
          <w:sz w:val="24"/>
          <w:szCs w:val="24"/>
        </w:rPr>
        <w:t>ство здійснює ліцензовану діяльність з організації та проведення азартних ігор казино в мережі Інтернет та азартних ігор у покер у мережі Інтернет, розташований за адресою https://partypoker.ua (далі - «Вебсайт») та використовується під брендом «Party Poke</w:t>
      </w:r>
      <w:r>
        <w:rPr>
          <w:b/>
          <w:bCs/>
          <w:sz w:val="24"/>
          <w:szCs w:val="24"/>
        </w:rPr>
        <w:t>r».</w:t>
      </w:r>
    </w:p>
    <w:p w14:paraId="0000000B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1.4. </w:t>
      </w:r>
      <w:r>
        <w:rPr>
          <w:sz w:val="24"/>
          <w:szCs w:val="24"/>
        </w:rPr>
        <w:t>Політика застосовується до персональних даних відвідувачів Вебсайту, осіб, які проходять реєстрацію, ідентифікацію або верифікацію, гравців, заявників, осіб, які звертаються до служби підтримки, а також інших фізичних осіб, персональні дані яких Т</w:t>
      </w:r>
      <w:r>
        <w:rPr>
          <w:sz w:val="24"/>
          <w:szCs w:val="24"/>
        </w:rPr>
        <w:t>овариство правомірно обробляє у зв’язку зі своєю діяльністю.</w:t>
      </w:r>
    </w:p>
    <w:p w14:paraId="0000000C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1.5. </w:t>
      </w:r>
      <w:r>
        <w:rPr>
          <w:sz w:val="24"/>
          <w:szCs w:val="24"/>
        </w:rPr>
        <w:t>Товариство визначає мету обробки персональних даних, склад таких даних та процедури їх обробки, якщо інше прямо не визначено законом. Особи, які обробляють персональні дані від імені Товарис</w:t>
      </w:r>
      <w:r>
        <w:rPr>
          <w:sz w:val="24"/>
          <w:szCs w:val="24"/>
        </w:rPr>
        <w:t>тва на підставі письмового договору, можуть виступати розпорядниками персональних даних у межах мети та обсягу, визначених таким договором.</w:t>
      </w:r>
    </w:p>
    <w:p w14:paraId="0000000D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1.6. </w:t>
      </w:r>
      <w:r>
        <w:rPr>
          <w:sz w:val="24"/>
          <w:szCs w:val="24"/>
        </w:rPr>
        <w:t>Використання Вебсайту саме по собі не означає надання безумовної згоди на всі можливі види обробки персональних</w:t>
      </w:r>
      <w:r>
        <w:rPr>
          <w:sz w:val="24"/>
          <w:szCs w:val="24"/>
        </w:rPr>
        <w:t xml:space="preserve"> даних. Товариство обробляє персональні дані на одній або кількох правових підставах, передбачених законом, зокрема для виконання договору, виконання встановлених законом обов’язків, реалізації законного інтересу або на підставі згоди, коли така згода є не</w:t>
      </w:r>
      <w:r>
        <w:rPr>
          <w:sz w:val="24"/>
          <w:szCs w:val="24"/>
        </w:rPr>
        <w:t>обхідною.</w:t>
      </w:r>
    </w:p>
    <w:p w14:paraId="0000000E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1.7. Ця редакція Політики охоплює обробку персональних даних у межах обох ліцензованих видів діяльності Товариства - організації та проведення азартних ігор казино в мережі Інтернет та організації і проведення азартних ігор у покер у мережі Інтер</w:t>
      </w:r>
      <w:r>
        <w:rPr>
          <w:b/>
          <w:bCs/>
          <w:sz w:val="24"/>
          <w:szCs w:val="24"/>
        </w:rPr>
        <w:t>нет. Спільні процедури реєстрації, ідентифікації/верифікації, користування Особистим кабінетом, розрахунків, відповідальної гри, фінансового моніторингу та звернень застосовуються з урахуванням особливостей відповідного виду азартних ігор.</w:t>
      </w:r>
    </w:p>
    <w:p w14:paraId="0000000F" w14:textId="77777777" w:rsidR="00144392" w:rsidRDefault="00B212C3">
      <w:pPr>
        <w:pStyle w:val="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 ТЕРМІНИ</w:t>
      </w:r>
    </w:p>
    <w:p w14:paraId="00000010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2.1. </w:t>
      </w:r>
      <w:r>
        <w:rPr>
          <w:sz w:val="24"/>
          <w:szCs w:val="24"/>
        </w:rPr>
        <w:t>«Персональні дані» – відомості чи сукупність відомостей про фізичну особу, яка ідентифікована або може бути конкретно ідентифікована.</w:t>
      </w:r>
    </w:p>
    <w:p w14:paraId="00000011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2.2. </w:t>
      </w:r>
      <w:r>
        <w:rPr>
          <w:sz w:val="24"/>
          <w:szCs w:val="24"/>
        </w:rPr>
        <w:t>«Обробка персональних даних» – будь-яка дія або сукупність дій, пов’язаних зі збиранням, реєстрацією, накопиченням, з</w:t>
      </w:r>
      <w:r>
        <w:rPr>
          <w:sz w:val="24"/>
          <w:szCs w:val="24"/>
        </w:rPr>
        <w:t>беріганням, адаптуванням, зміною, поновленням, використанням, передачею, знеособленням або знищенням персональних даних, у тому числі із застосуванням інформаційних (автоматизованих) систем.</w:t>
      </w:r>
    </w:p>
    <w:p w14:paraId="00000012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2.3. </w:t>
      </w:r>
      <w:r>
        <w:rPr>
          <w:sz w:val="24"/>
          <w:szCs w:val="24"/>
        </w:rPr>
        <w:t>«Суб’єкт персональних даних» – фізична особа, персональні да</w:t>
      </w:r>
      <w:r>
        <w:rPr>
          <w:sz w:val="24"/>
          <w:szCs w:val="24"/>
        </w:rPr>
        <w:t>ні якої обробляються.</w:t>
      </w:r>
    </w:p>
    <w:p w14:paraId="00000013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2.4. </w:t>
      </w:r>
      <w:r>
        <w:rPr>
          <w:sz w:val="24"/>
          <w:szCs w:val="24"/>
        </w:rPr>
        <w:t>«Розпорядник персональних даних» – фізична або юридична особа, якій Товариством або законом надано право обробляти персональні дані від імені Товариства.</w:t>
      </w:r>
    </w:p>
    <w:p w14:paraId="00000014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2.5. </w:t>
      </w:r>
      <w:r>
        <w:rPr>
          <w:sz w:val="24"/>
          <w:szCs w:val="24"/>
        </w:rPr>
        <w:t>«Одержувач» – фізична або юридична особа, якій надаються персональні д</w:t>
      </w:r>
      <w:r>
        <w:rPr>
          <w:sz w:val="24"/>
          <w:szCs w:val="24"/>
        </w:rPr>
        <w:t>ані, у тому числі третя особа.</w:t>
      </w:r>
    </w:p>
    <w:p w14:paraId="00000015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2.6. «Гравець» - фізична особа, яка відповідно до законодавства та Правил Організатора допущена до участі в азартних іграх казино в мережі Інтернет та/або азартних іграх у покер у мережі Інтернет.</w:t>
      </w:r>
    </w:p>
    <w:p w14:paraId="00000016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2.7. «Особистий кабінет» - ч</w:t>
      </w:r>
      <w:r>
        <w:rPr>
          <w:b/>
          <w:bCs/>
          <w:sz w:val="24"/>
          <w:szCs w:val="24"/>
        </w:rPr>
        <w:t>астина онлайн-системи Товариства, що забезпечує Гравця повною інформацією про його дії, угоди, укладені з Товариством, Ігровий баланс, а також містить інформацію, необхідну для ідентифікації Гравця та іншу інформацію, передбачену законодавством і Правилами</w:t>
      </w:r>
      <w:r>
        <w:rPr>
          <w:b/>
          <w:bCs/>
          <w:sz w:val="24"/>
          <w:szCs w:val="24"/>
        </w:rPr>
        <w:t xml:space="preserve"> Організатора.</w:t>
      </w:r>
    </w:p>
    <w:p w14:paraId="00000017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2.8. </w:t>
      </w:r>
      <w:r>
        <w:rPr>
          <w:sz w:val="24"/>
          <w:szCs w:val="24"/>
        </w:rPr>
        <w:t>«Ігровий баланс» - облікована в онлайн-системі сума коштів/ігрових одиниць Гравця, яка відображається в Особистому кабінеті та використовується для розрахунків, пов’язаних з участю в азартних іграх, відповідно до законодавства та Правил</w:t>
      </w:r>
      <w:r>
        <w:rPr>
          <w:sz w:val="24"/>
          <w:szCs w:val="24"/>
        </w:rPr>
        <w:t xml:space="preserve"> Організатора.</w:t>
      </w:r>
    </w:p>
    <w:p w14:paraId="00000018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2.9. «Реєстр» - Реєстр осіб, яким обмежено доступ до гральних закладів та/або участь в азартних іграх.</w:t>
      </w:r>
    </w:p>
    <w:p w14:paraId="00000019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2.10. Інші терміни вживаються у значеннях, визначених законодавством України та Правилами Організатора.</w:t>
      </w:r>
    </w:p>
    <w:p w14:paraId="0000001A" w14:textId="77777777" w:rsidR="00144392" w:rsidRDefault="00B212C3">
      <w:pPr>
        <w:pStyle w:val="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 ПРИНЦИПИ ОБРОБКИ ПЕРСОНАЛЬНИХ Д</w:t>
      </w:r>
      <w:r>
        <w:rPr>
          <w:rFonts w:ascii="Times New Roman" w:eastAsia="Times New Roman" w:hAnsi="Times New Roman" w:cs="Times New Roman"/>
          <w:color w:val="000000"/>
        </w:rPr>
        <w:t>АНИХ</w:t>
      </w:r>
    </w:p>
    <w:p w14:paraId="0000001B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3.1. </w:t>
      </w:r>
      <w:r>
        <w:rPr>
          <w:sz w:val="24"/>
          <w:szCs w:val="24"/>
        </w:rPr>
        <w:t>Товариство обробляє персональні дані відкрито, прозоро, добросовісно та лише у спосіб, що відповідає визначеним законним цілям.</w:t>
      </w:r>
    </w:p>
    <w:p w14:paraId="0000001C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3.2. </w:t>
      </w:r>
      <w:r>
        <w:rPr>
          <w:sz w:val="24"/>
          <w:szCs w:val="24"/>
        </w:rPr>
        <w:t>Склад та зміст персональних даних мають бути відповідними, адекватними та ненадмірними стосовно мети їх обробки.</w:t>
      </w:r>
    </w:p>
    <w:p w14:paraId="0000001D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3.3. </w:t>
      </w:r>
      <w:r>
        <w:rPr>
          <w:sz w:val="24"/>
          <w:szCs w:val="24"/>
        </w:rPr>
        <w:t>Товариство вживає розумних заходів для забезпечення точності та актуальності персональних даних і, за необхідності, їх поновлення.</w:t>
      </w:r>
    </w:p>
    <w:p w14:paraId="0000001E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3.4. </w:t>
      </w:r>
      <w:r>
        <w:rPr>
          <w:sz w:val="24"/>
          <w:szCs w:val="24"/>
        </w:rPr>
        <w:t>Дані зберігаються у формі, що допускає ідентифікацію суб’єкта, не довше, ніж це необхідно для відповідної законної мети, якщо інший строк не встановлений законом.</w:t>
      </w:r>
    </w:p>
    <w:p w14:paraId="0000001F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3.5. </w:t>
      </w:r>
      <w:r>
        <w:rPr>
          <w:sz w:val="24"/>
          <w:szCs w:val="24"/>
        </w:rPr>
        <w:t>Доступ до персональних даних надається лише особам, для яких такий доступ є необхідним д</w:t>
      </w:r>
      <w:r>
        <w:rPr>
          <w:sz w:val="24"/>
          <w:szCs w:val="24"/>
        </w:rPr>
        <w:t>ля виконання професійних, службових або договірних обов’язків.</w:t>
      </w:r>
    </w:p>
    <w:p w14:paraId="00000020" w14:textId="77777777" w:rsidR="00144392" w:rsidRDefault="00B212C3">
      <w:pPr>
        <w:pStyle w:val="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 ДЖЕРЕЛА ТА КАТЕГОРІЇ ПЕРСОНАЛЬНИХ ДАНИХ</w:t>
      </w:r>
    </w:p>
    <w:p w14:paraId="00000021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4.1. Товариство може отримувати персональні дані безпосередньо від суб’єкта персональних даних, із документів, наданих ним, із законних державних реєс</w:t>
      </w:r>
      <w:r>
        <w:rPr>
          <w:b/>
          <w:bCs/>
          <w:sz w:val="24"/>
          <w:szCs w:val="24"/>
        </w:rPr>
        <w:t>трів та інформаційних ресурсів, від постачальників електронної ідентифікації/верифікації, банків, постачальників ігрового контенту та технічних сервісів, а також автоматично під час користування Вебсайтом.</w:t>
      </w:r>
    </w:p>
    <w:p w14:paraId="00000022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4.2. </w:t>
      </w:r>
      <w:r>
        <w:rPr>
          <w:sz w:val="24"/>
          <w:szCs w:val="24"/>
        </w:rPr>
        <w:t>До ідентифікаційних та контактних даних можут</w:t>
      </w:r>
      <w:r>
        <w:rPr>
          <w:sz w:val="24"/>
          <w:szCs w:val="24"/>
        </w:rPr>
        <w:t xml:space="preserve">ь належати: прізвище, ім’я, по батькові (за наявності), дата народження, громадянство, реквізити документа, що посвідчує особу, реєстраційний номер облікової картки платника податків, місце проживання/перебування, номер телефону, адреса електронної пошти, </w:t>
      </w:r>
      <w:r>
        <w:rPr>
          <w:sz w:val="24"/>
          <w:szCs w:val="24"/>
        </w:rPr>
        <w:t>унікальний ідентифікатор у системі Товариства.</w:t>
      </w:r>
    </w:p>
    <w:p w14:paraId="00000023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4.3. </w:t>
      </w:r>
      <w:r>
        <w:rPr>
          <w:sz w:val="24"/>
          <w:szCs w:val="24"/>
        </w:rPr>
        <w:t>Для виконання вимог законодавства про азартні ігри Товариство обробляє відомості, необхідні для встановлення віку особи, її ідентифікації (верифікації, встановлення даних), а також відомості про наявність</w:t>
      </w:r>
      <w:r>
        <w:rPr>
          <w:sz w:val="24"/>
          <w:szCs w:val="24"/>
        </w:rPr>
        <w:t xml:space="preserve"> чи відсутність обмеження доступу до азартних ігор у Реєстрі.</w:t>
      </w:r>
    </w:p>
    <w:p w14:paraId="00000024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4.4. До ігрових та операційних даних можуть належати: інформація про створення та використання Особистого кабінету, входи до системи, ставки, ігрові сесії, результати ігор, виграші, повернення, </w:t>
      </w:r>
      <w:r>
        <w:rPr>
          <w:b/>
          <w:bCs/>
          <w:sz w:val="24"/>
          <w:szCs w:val="24"/>
        </w:rPr>
        <w:t>бонусні операції, Ігровий баланс, дата і час відповідних подій, внутрішні ідентифікатори операцій, встановлені Гравцем ліміти витрат і часу участі, дані про їх використання, перерви, самообмеження та інші події, що обробляються для виконання вимог законода</w:t>
      </w:r>
      <w:r>
        <w:rPr>
          <w:b/>
          <w:bCs/>
          <w:sz w:val="24"/>
          <w:szCs w:val="24"/>
        </w:rPr>
        <w:t>вства у сфері відповідальної гри. Для онлайн-покеру до таких даних також можуть належати відомості про покерний стіл або турнір, реєстрацію в турнірі, байін, блайнди/анте, роздачі та дії Гравця в них, розмір Банку, рейк, призовий фонд, турнірний результат,</w:t>
      </w:r>
      <w:r>
        <w:rPr>
          <w:b/>
          <w:bCs/>
          <w:sz w:val="24"/>
          <w:szCs w:val="24"/>
        </w:rPr>
        <w:t xml:space="preserve"> електронні ігрові замінники гривні та інші відомості, необхідні для проведення і обліку відповідної покерної гри.</w:t>
      </w:r>
    </w:p>
    <w:p w14:paraId="00000025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4.5. До платіжних і фінансових даних можуть належати: реквізити власного банківського рахунку або платіжного інструменту Гравця в обсязі, нео</w:t>
      </w:r>
      <w:r>
        <w:rPr>
          <w:b/>
          <w:bCs/>
          <w:sz w:val="24"/>
          <w:szCs w:val="24"/>
        </w:rPr>
        <w:t>бхідному для здійснення та перевірки операції, сума і статус транзакції, дата та час операції, інформація про належність рахунку/платіжного інструменту Гравцю та інші відомості, необхідні для виконання вимог законодавства і фінансового моніторингу.</w:t>
      </w:r>
    </w:p>
    <w:p w14:paraId="00000026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4.6. </w:t>
      </w:r>
      <w:r>
        <w:rPr>
          <w:sz w:val="24"/>
          <w:szCs w:val="24"/>
        </w:rPr>
        <w:t xml:space="preserve">У </w:t>
      </w:r>
      <w:r>
        <w:rPr>
          <w:sz w:val="24"/>
          <w:szCs w:val="24"/>
        </w:rPr>
        <w:t>межах виконання обов’язків суб’єкта первинного фінансового моніторингу Товариство може запитувати та обробляти додаткові ідентифікаційні документи, відомості про джерело коштів/статків, фінансовий стан, характер та мету ділових відносин та інші дані у випа</w:t>
      </w:r>
      <w:r>
        <w:rPr>
          <w:sz w:val="24"/>
          <w:szCs w:val="24"/>
        </w:rPr>
        <w:t>дках, передбачених законом.</w:t>
      </w:r>
    </w:p>
    <w:p w14:paraId="00000027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4.7. </w:t>
      </w:r>
      <w:r>
        <w:rPr>
          <w:sz w:val="24"/>
          <w:szCs w:val="24"/>
        </w:rPr>
        <w:t>До технічних даних можуть належати IP-адреса, тип і версія браузера, операційна система, дані про пристрій, дата і час підключення, журнали авторизації, cookie-файли та інші технічні ідентифікатори, необхідні для безпеки, п</w:t>
      </w:r>
      <w:r>
        <w:rPr>
          <w:sz w:val="24"/>
          <w:szCs w:val="24"/>
        </w:rPr>
        <w:t>рацездатності та аналітики Вебсайту.</w:t>
      </w:r>
    </w:p>
    <w:p w14:paraId="00000028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4.8. </w:t>
      </w:r>
      <w:r>
        <w:rPr>
          <w:sz w:val="24"/>
          <w:szCs w:val="24"/>
        </w:rPr>
        <w:t>До комунікаційних даних можуть належати звернення до служби підтримки, електронне листування, записи звернень та інші матеріали, необхідні для розгляду запитів, скарг, спорів та контролю якості.</w:t>
      </w:r>
    </w:p>
    <w:p w14:paraId="00000029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4.9. </w:t>
      </w:r>
      <w:r>
        <w:rPr>
          <w:sz w:val="24"/>
          <w:szCs w:val="24"/>
        </w:rPr>
        <w:t xml:space="preserve">Товариство не </w:t>
      </w:r>
      <w:r>
        <w:rPr>
          <w:sz w:val="24"/>
          <w:szCs w:val="24"/>
        </w:rPr>
        <w:t>має на меті збирати спеціальні категорії персональних даних, визначені статтею 7 Закону України «Про захист персональних даних», крім випадків, коли така обробка прямо дозволена законом або здійснюється на іншій належній правовій підставі з відповідними га</w:t>
      </w:r>
      <w:r>
        <w:rPr>
          <w:sz w:val="24"/>
          <w:szCs w:val="24"/>
        </w:rPr>
        <w:t>рантіями.</w:t>
      </w:r>
    </w:p>
    <w:p w14:paraId="0000002A" w14:textId="77777777" w:rsidR="00144392" w:rsidRDefault="00B212C3">
      <w:pPr>
        <w:pStyle w:val="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5. МЕТА ОБРОБКИ ПЕРСОНАЛЬНИХ ДАНИХ</w:t>
      </w:r>
    </w:p>
    <w:p w14:paraId="0000002B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5.1. Реєстрація особи на Вебсайті, створення, функціонування та обслуговування Особистого кабінету.</w:t>
      </w:r>
    </w:p>
    <w:p w14:paraId="0000002C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5.2. </w:t>
      </w:r>
      <w:r>
        <w:rPr>
          <w:sz w:val="24"/>
          <w:szCs w:val="24"/>
        </w:rPr>
        <w:t>Ідентифікація (верифікація, встановлення даних), перевірка віку та інших законодавчих обмежень до участі в</w:t>
      </w:r>
      <w:r>
        <w:rPr>
          <w:sz w:val="24"/>
          <w:szCs w:val="24"/>
        </w:rPr>
        <w:t xml:space="preserve"> азартних іграх.</w:t>
      </w:r>
    </w:p>
    <w:p w14:paraId="0000002D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5.3. </w:t>
      </w:r>
      <w:r>
        <w:rPr>
          <w:sz w:val="24"/>
          <w:szCs w:val="24"/>
        </w:rPr>
        <w:t>Перевірка відомостей у Реєстрі та виконання обов’язку щодо недопуску осіб, участь яких в азартних іграх заборонена або обмежена законом.</w:t>
      </w:r>
    </w:p>
    <w:p w14:paraId="0000002E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5.4. Укладення та виконання договору про участь в азартній грі, забезпечення проведення азартних </w:t>
      </w:r>
      <w:r>
        <w:rPr>
          <w:b/>
          <w:bCs/>
          <w:sz w:val="24"/>
          <w:szCs w:val="24"/>
        </w:rPr>
        <w:t>ігор казино в мережі Інтернет та азартних ігор у покер у мережі Інтернет, обліку ставок, роздач, ігрових сесій, турнірів, результатів, виграшів, призових фондів та розрахунків.</w:t>
      </w:r>
    </w:p>
    <w:p w14:paraId="0000002F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5.5. Поповнення Ігрового балансу, повернення коштів, здійснення виплат на власн</w:t>
      </w:r>
      <w:r>
        <w:rPr>
          <w:b/>
          <w:bCs/>
          <w:sz w:val="24"/>
          <w:szCs w:val="24"/>
        </w:rPr>
        <w:t>ий банківський рахунок Гравця та перевірка законності і належності фінансових операцій.</w:t>
      </w:r>
    </w:p>
    <w:p w14:paraId="00000030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5.6. </w:t>
      </w:r>
      <w:r>
        <w:rPr>
          <w:sz w:val="24"/>
          <w:szCs w:val="24"/>
        </w:rPr>
        <w:t>Виконання вимог законодавства у сфері фінансового моніторингу, бухгалтерського та податкового обліку, державного регулювання азартних ігор.</w:t>
      </w:r>
    </w:p>
    <w:p w14:paraId="00000031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5.7. Запобігання шахрай</w:t>
      </w:r>
      <w:r>
        <w:rPr>
          <w:b/>
          <w:bCs/>
          <w:sz w:val="24"/>
          <w:szCs w:val="24"/>
        </w:rPr>
        <w:t>ству, неправомірному доступу, використанню чужих платіжних засобів, мультиакаунтингу, технічним атакам та іншим порушенням, а для онлайн-покеру також виявлення та припинення змови між Гравцями, chip dumping, soft play, використання ботів, заборонених засоб</w:t>
      </w:r>
      <w:r>
        <w:rPr>
          <w:b/>
          <w:bCs/>
          <w:sz w:val="24"/>
          <w:szCs w:val="24"/>
        </w:rPr>
        <w:t>ів автоматизації або real-time assistance та інших форм недобросовісної поведінки, якщо обробка відповідних даних є необхідною і правомірною.</w:t>
      </w:r>
    </w:p>
    <w:p w14:paraId="00000032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5.8. </w:t>
      </w:r>
      <w:r>
        <w:rPr>
          <w:sz w:val="24"/>
          <w:szCs w:val="24"/>
        </w:rPr>
        <w:t>Забезпечення функціонування, захисту, аудиту, діагностики та поліпшення Вебсайту й онлайн-системи.</w:t>
      </w:r>
    </w:p>
    <w:p w14:paraId="00000033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5.9. </w:t>
      </w:r>
      <w:r>
        <w:rPr>
          <w:sz w:val="24"/>
          <w:szCs w:val="24"/>
        </w:rPr>
        <w:t>Надан</w:t>
      </w:r>
      <w:r>
        <w:rPr>
          <w:sz w:val="24"/>
          <w:szCs w:val="24"/>
        </w:rPr>
        <w:t>ня підтримки, розгляд звернень, скарг та претензій, встановлення фактичних обставин спорів і захист прав та законних інтересів Товариства та Гравців.</w:t>
      </w:r>
    </w:p>
    <w:p w14:paraId="00000034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5.10. </w:t>
      </w:r>
      <w:r>
        <w:rPr>
          <w:sz w:val="24"/>
          <w:szCs w:val="24"/>
        </w:rPr>
        <w:t>Виконання законних запитів та обов’язкових вимог державних органів, судів та інших уповноважених суб</w:t>
      </w:r>
      <w:r>
        <w:rPr>
          <w:sz w:val="24"/>
          <w:szCs w:val="24"/>
        </w:rPr>
        <w:t>’єктів.</w:t>
      </w:r>
    </w:p>
    <w:p w14:paraId="00000035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5.11. </w:t>
      </w:r>
      <w:r>
        <w:rPr>
          <w:sz w:val="24"/>
          <w:szCs w:val="24"/>
        </w:rPr>
        <w:t>Надсилання рекламних та інформаційно-маркетингових повідомлень – лише за наявності належної правової підстави, зокрема окремої згоди, якщо вона вимагається законом.</w:t>
      </w:r>
    </w:p>
    <w:p w14:paraId="00000036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5.12. </w:t>
      </w:r>
      <w:r>
        <w:rPr>
          <w:sz w:val="24"/>
          <w:szCs w:val="24"/>
        </w:rPr>
        <w:t>Виконання вимог відповідальної гри, у тому числі встановлення та забезп</w:t>
      </w:r>
      <w:r>
        <w:rPr>
          <w:sz w:val="24"/>
          <w:szCs w:val="24"/>
        </w:rPr>
        <w:t>ечення дотримання лімітів витрат і часу участі в азартних іграх, застосування перерв, самообмеження/самовиключення, недопуск осіб з установленими законом обмеженнями та виконання інших передбачених законом заходів щодо запобігання ігровій залежності.</w:t>
      </w:r>
    </w:p>
    <w:p w14:paraId="00000037" w14:textId="77777777" w:rsidR="00144392" w:rsidRDefault="00B212C3">
      <w:pPr>
        <w:pStyle w:val="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6. ПР</w:t>
      </w:r>
      <w:r>
        <w:rPr>
          <w:rFonts w:ascii="Times New Roman" w:eastAsia="Times New Roman" w:hAnsi="Times New Roman" w:cs="Times New Roman"/>
          <w:color w:val="000000"/>
        </w:rPr>
        <w:t>АВОВІ ПІДСТАВИ ОБРОБКИ</w:t>
      </w:r>
    </w:p>
    <w:p w14:paraId="00000038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6.1. </w:t>
      </w:r>
      <w:r>
        <w:rPr>
          <w:sz w:val="24"/>
          <w:szCs w:val="24"/>
        </w:rPr>
        <w:t>Згода суб’єкта персональних даних – у випадках, коли обробка не є необхідною для виконання договору чи обов’язку, встановленого законом, або коли закон прямо вимагає отримання згоди.</w:t>
      </w:r>
    </w:p>
    <w:p w14:paraId="00000039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6.2. </w:t>
      </w:r>
      <w:r>
        <w:rPr>
          <w:sz w:val="24"/>
          <w:szCs w:val="24"/>
        </w:rPr>
        <w:t>Укладення та виконання правочину, стороною якого є суб’єкт персональних даних, а також вжиття заходів, що передують укладенню такого правочину на вимогу суб’єкта.</w:t>
      </w:r>
    </w:p>
    <w:p w14:paraId="0000003A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6.3. </w:t>
      </w:r>
      <w:r>
        <w:rPr>
          <w:sz w:val="24"/>
          <w:szCs w:val="24"/>
        </w:rPr>
        <w:t>Необхідність виконання обов’язків Товариства, передбачених законодавством про азартні іг</w:t>
      </w:r>
      <w:r>
        <w:rPr>
          <w:sz w:val="24"/>
          <w:szCs w:val="24"/>
        </w:rPr>
        <w:t>ри, фінансовий моніторинг, податковим, бухгалтерським та іншим законодавством.</w:t>
      </w:r>
    </w:p>
    <w:p w14:paraId="0000003B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6.4. </w:t>
      </w:r>
      <w:r>
        <w:rPr>
          <w:sz w:val="24"/>
          <w:szCs w:val="24"/>
        </w:rPr>
        <w:t>Дозвіл на обробку персональних даних, наданий Товариству відповідно до закону виключно для здійснення його повноважень та обов’язків.</w:t>
      </w:r>
    </w:p>
    <w:p w14:paraId="0000003C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6.5. </w:t>
      </w:r>
      <w:r>
        <w:rPr>
          <w:sz w:val="24"/>
          <w:szCs w:val="24"/>
        </w:rPr>
        <w:t>Необхідність захисту законних інтересів Товариства або третьої особи, якщо права і свободи суб’єкта персональних даних не переважають такі інтереси.</w:t>
      </w:r>
    </w:p>
    <w:p w14:paraId="0000003D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6.6. </w:t>
      </w:r>
      <w:r>
        <w:rPr>
          <w:sz w:val="24"/>
          <w:szCs w:val="24"/>
        </w:rPr>
        <w:t>Відкликання згоди не впливає на законність обробки, здійсненої до її відкликання, та не припиняє оброб</w:t>
      </w:r>
      <w:r>
        <w:rPr>
          <w:sz w:val="24"/>
          <w:szCs w:val="24"/>
        </w:rPr>
        <w:t>ку, яка після відкликання має іншу самостійну правову підставу, передбачену законом.</w:t>
      </w:r>
    </w:p>
    <w:p w14:paraId="0000003E" w14:textId="77777777" w:rsidR="00144392" w:rsidRDefault="00B212C3">
      <w:pPr>
        <w:pStyle w:val="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7. ОСОБЛИВОСТІ ОБРОБКИ ДАНИХ ПІД ЧАС ІДЕНТИФІКАЦІЇ ТА УЧАСТІ В АЗАРТНИХ ІГРАХ</w:t>
      </w:r>
    </w:p>
    <w:p w14:paraId="0000003F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7.1. Під час створення Особистого кабінету та до допуску особи до участі в азартній грі Товар</w:t>
      </w:r>
      <w:r>
        <w:rPr>
          <w:b/>
          <w:bCs/>
          <w:sz w:val="24"/>
          <w:szCs w:val="24"/>
        </w:rPr>
        <w:t>иство здійснює ідентифікацію (верифікацію, встановлення даних) із застосуванням методів, передбачених законодавством, та з дотриманням вимог законодавства про захист персональних даних.</w:t>
      </w:r>
    </w:p>
    <w:p w14:paraId="00000040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7.2. Для цілей законодавства про азартні ігри Товариство обробляє відо</w:t>
      </w:r>
      <w:r>
        <w:rPr>
          <w:b/>
          <w:bCs/>
          <w:sz w:val="24"/>
          <w:szCs w:val="24"/>
        </w:rPr>
        <w:t xml:space="preserve">мості, необхідні для встановлення прізвища, ім’я, по батькові (за наявності), віку (дати народження), перевірки наявності/відсутності відповідних обмежень у Реєстрі, створення Особистого кабінету та забезпечення участі в азартних іграх виключно особи, яка </w:t>
      </w:r>
      <w:r>
        <w:rPr>
          <w:b/>
          <w:bCs/>
          <w:sz w:val="24"/>
          <w:szCs w:val="24"/>
        </w:rPr>
        <w:t>відповідає вимогам Закону.</w:t>
      </w:r>
    </w:p>
    <w:p w14:paraId="00000041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7.3. </w:t>
      </w:r>
      <w:r>
        <w:rPr>
          <w:sz w:val="24"/>
          <w:szCs w:val="24"/>
        </w:rPr>
        <w:t>Товариство запроваджує та застосовує процедури, що дають можливість достовірно встановити вік Гравця. Ця Політика визначає правила обробки персональних даних під час застосування таких процедур, але не замінює спеціальні вну</w:t>
      </w:r>
      <w:r>
        <w:rPr>
          <w:sz w:val="24"/>
          <w:szCs w:val="24"/>
        </w:rPr>
        <w:t>трішні та публічні правила ідентифікації/верифікації.</w:t>
      </w:r>
    </w:p>
    <w:p w14:paraId="00000042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7.4. У разі використання електронного підпису, BankID, електронного сервісу «Дія» або іншого передбаченого законодавством методу ідентифікації/верифікації обсяг отримуваних даних обмежується інформацією</w:t>
      </w:r>
      <w:r>
        <w:rPr>
          <w:b/>
          <w:bCs/>
          <w:sz w:val="24"/>
          <w:szCs w:val="24"/>
        </w:rPr>
        <w:t>, необхідною для відповідної процедури та виконання законодавчих обов’язків Товариства.</w:t>
      </w:r>
    </w:p>
    <w:p w14:paraId="00000043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7.5. Дані про Особистий кабінет, Ігровий баланс, ставки, ігрові сесії, покерні столи і турніри, роздачі, ігрові дії, виграші, призові фонди, рейк, виплати, повернення т</w:t>
      </w:r>
      <w:r>
        <w:rPr>
          <w:b/>
          <w:bCs/>
          <w:sz w:val="24"/>
          <w:szCs w:val="24"/>
        </w:rPr>
        <w:t xml:space="preserve">а інші операції обробляються в онлайн-системі Товариства у межах, необхідних для проведення азартних </w:t>
      </w:r>
      <w:r>
        <w:rPr>
          <w:b/>
          <w:bCs/>
          <w:sz w:val="24"/>
          <w:szCs w:val="24"/>
        </w:rPr>
        <w:lastRenderedPageBreak/>
        <w:t>ігор казино в мережі Інтернет та азартних ігор у покер у мережі Інтернет, здійснення розрахунків, забезпечення цілісності та чесності гри, контролю законно</w:t>
      </w:r>
      <w:r>
        <w:rPr>
          <w:b/>
          <w:bCs/>
          <w:sz w:val="24"/>
          <w:szCs w:val="24"/>
        </w:rPr>
        <w:t>сті операцій, виконання вимог державного регулювання та захисту прав Гравця.</w:t>
      </w:r>
    </w:p>
    <w:p w14:paraId="00000044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7.6. </w:t>
      </w:r>
      <w:r>
        <w:rPr>
          <w:sz w:val="24"/>
          <w:szCs w:val="24"/>
        </w:rPr>
        <w:t>Товариство забезпечує конфіденційність персональних даних Гравців та вживає організаційних і технічних заходів для запобігання несанкціонованому доступу, зміні, розкриттю, вт</w:t>
      </w:r>
      <w:r>
        <w:rPr>
          <w:sz w:val="24"/>
          <w:szCs w:val="24"/>
        </w:rPr>
        <w:t>раті або знищенню відповідної інформації.</w:t>
      </w:r>
    </w:p>
    <w:p w14:paraId="00000045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7.7. Якщо щодо особи виявлено законне обмеження участі в азартних іграх, Товариство обробляє відповідні відомості в обсязі, необхідному для недопуску до гри, обмеження доступу до Особистого кабінету, врегулювання н</w:t>
      </w:r>
      <w:r>
        <w:rPr>
          <w:b/>
          <w:bCs/>
          <w:sz w:val="24"/>
          <w:szCs w:val="24"/>
        </w:rPr>
        <w:t>алежних виплат/повернень та виконання інших вимог закону.</w:t>
      </w:r>
    </w:p>
    <w:p w14:paraId="00000046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7.8. Дані про встановлені Гравцем ліміти витрат і часу участі, їх використання, передбачені законом перерви, самообмеження/самовиключення та інші пов’язані події обробляються лише в обсязі, необхідн</w:t>
      </w:r>
      <w:r>
        <w:rPr>
          <w:b/>
          <w:bCs/>
          <w:sz w:val="24"/>
          <w:szCs w:val="24"/>
        </w:rPr>
        <w:t>ому для виконання вимог законодавства та внутрішніх правил Товариства у сфері відповідальної гри. Такі вимоги застосовуються до участі Гравця як в азартних іграх казино в мережі Інтернет, так і в азартних іграх у покер у мережі Інтернет.</w:t>
      </w:r>
    </w:p>
    <w:p w14:paraId="00000047" w14:textId="77777777" w:rsidR="00144392" w:rsidRDefault="00B212C3">
      <w:pPr>
        <w:pStyle w:val="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8. ПЕРЕДАЧА ТА НАД</w:t>
      </w:r>
      <w:r>
        <w:rPr>
          <w:rFonts w:ascii="Times New Roman" w:eastAsia="Times New Roman" w:hAnsi="Times New Roman" w:cs="Times New Roman"/>
          <w:color w:val="000000"/>
        </w:rPr>
        <w:t>АННЯ ДОСТУПУ ДО ПЕРСОНАЛЬНИХ ДАНИХ</w:t>
      </w:r>
    </w:p>
    <w:p w14:paraId="00000048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8.1. </w:t>
      </w:r>
      <w:r>
        <w:rPr>
          <w:sz w:val="24"/>
          <w:szCs w:val="24"/>
        </w:rPr>
        <w:t>Товариство не продає персональні дані Гравців та не передає їх третім особам для власних несумісних цілей таких осіб.</w:t>
      </w:r>
    </w:p>
    <w:p w14:paraId="00000049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8.2. У межах необхідності персональні дані можуть надаватися або ставати доступними: банкам; поста</w:t>
      </w:r>
      <w:r>
        <w:rPr>
          <w:b/>
          <w:bCs/>
          <w:sz w:val="24"/>
          <w:szCs w:val="24"/>
        </w:rPr>
        <w:t>чальникам послуг ідентифікації/верифікації; постачальникам ігрового та покерного контенту, онлайн-системи й технічної інфраструктури; хостинг-, кібербезпековим, комунікаційним та аналітичним сервісам; аудиторам, адвокатам та іншим професійним консультантам</w:t>
      </w:r>
      <w:r>
        <w:rPr>
          <w:b/>
          <w:bCs/>
          <w:sz w:val="24"/>
          <w:szCs w:val="24"/>
        </w:rPr>
        <w:t>; Державному агентству України ПлейСіті, суб’єктам державного фінансового моніторингу, судам, правоохоронним та іншим державним органам у випадках та обсязі, передбачених законом.</w:t>
      </w:r>
    </w:p>
    <w:p w14:paraId="0000004A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8.3. </w:t>
      </w:r>
      <w:r>
        <w:rPr>
          <w:sz w:val="24"/>
          <w:szCs w:val="24"/>
        </w:rPr>
        <w:t>Якщо третя особа обробляє персональні дані від імені Товариства як розп</w:t>
      </w:r>
      <w:r>
        <w:rPr>
          <w:sz w:val="24"/>
          <w:szCs w:val="24"/>
        </w:rPr>
        <w:t>орядник, така обробка здійснюється на підставі письмового договору та лише з метою і в обсязі, визначених Товариством і законом.</w:t>
      </w:r>
    </w:p>
    <w:p w14:paraId="0000004B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8.4. </w:t>
      </w:r>
      <w:r>
        <w:rPr>
          <w:sz w:val="24"/>
          <w:szCs w:val="24"/>
        </w:rPr>
        <w:t>Доступ третіх осіб до персональних даних не надається, якщо така особа не бере на себе належні зобов’язання щодо захисту д</w:t>
      </w:r>
      <w:r>
        <w:rPr>
          <w:sz w:val="24"/>
          <w:szCs w:val="24"/>
        </w:rPr>
        <w:t>аних або неспроможна забезпечити вимоги законодавства.</w:t>
      </w:r>
    </w:p>
    <w:p w14:paraId="0000004C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8.5. </w:t>
      </w:r>
      <w:r>
        <w:rPr>
          <w:sz w:val="24"/>
          <w:szCs w:val="24"/>
        </w:rPr>
        <w:t>Передача персональних даних державним органам здійснюється виключно в межах їх повноважень та у випадках, передбачених законом.</w:t>
      </w:r>
    </w:p>
    <w:p w14:paraId="0000004D" w14:textId="77777777" w:rsidR="00144392" w:rsidRDefault="00B212C3">
      <w:pPr>
        <w:pStyle w:val="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9. ПЕРЕДАЧА ПЕРСОНАЛЬНИХ ДАНИХ ЗА МЕЖІ УКРАЇНИ</w:t>
      </w:r>
    </w:p>
    <w:p w14:paraId="0000004E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9.1. </w:t>
      </w:r>
      <w:r>
        <w:rPr>
          <w:sz w:val="24"/>
          <w:szCs w:val="24"/>
        </w:rPr>
        <w:t>Передача персона</w:t>
      </w:r>
      <w:r>
        <w:rPr>
          <w:sz w:val="24"/>
          <w:szCs w:val="24"/>
        </w:rPr>
        <w:t>льних даних іноземним суб’єктам відносин здійснюється з дотриманням статті 29 Закону України «Про захист персональних даних» та інших застосовних норм.</w:t>
      </w:r>
    </w:p>
    <w:p w14:paraId="0000004F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9.2. </w:t>
      </w:r>
      <w:r>
        <w:rPr>
          <w:sz w:val="24"/>
          <w:szCs w:val="24"/>
        </w:rPr>
        <w:t xml:space="preserve">Перед передачею Товариство оцінює наявність належного рівня захисту в державі одержувача або іншої </w:t>
      </w:r>
      <w:r>
        <w:rPr>
          <w:sz w:val="24"/>
          <w:szCs w:val="24"/>
        </w:rPr>
        <w:t>передбаченої законом правової підстави для передачі та застосовує необхідні договірні й організаційні гарантії.</w:t>
      </w:r>
    </w:p>
    <w:p w14:paraId="00000050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9.3. </w:t>
      </w:r>
      <w:r>
        <w:rPr>
          <w:sz w:val="24"/>
          <w:szCs w:val="24"/>
        </w:rPr>
        <w:t>Персональні дані не передаються за кордон для мети, несумісної з тією, для якої вони були зібрані.</w:t>
      </w:r>
    </w:p>
    <w:p w14:paraId="00000051" w14:textId="77777777" w:rsidR="00144392" w:rsidRDefault="00B212C3">
      <w:pPr>
        <w:pStyle w:val="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10. COOKIE-ФАЙЛИ ТА ТЕХНІЧНІ ДАНІ</w:t>
      </w:r>
    </w:p>
    <w:p w14:paraId="00000052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10.1. </w:t>
      </w:r>
      <w:r>
        <w:rPr>
          <w:sz w:val="24"/>
          <w:szCs w:val="24"/>
        </w:rPr>
        <w:t>Вебсайт може використовувати необхідні cookie-файли для авторизації, безпеки, підтримання сесії, збереження налаштувань та забезпечення основного функціоналу.</w:t>
      </w:r>
    </w:p>
    <w:p w14:paraId="00000053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10.2. </w:t>
      </w:r>
      <w:r>
        <w:rPr>
          <w:sz w:val="24"/>
          <w:szCs w:val="24"/>
        </w:rPr>
        <w:t>Аналітичні або інші необов’язкові технології можуть використовуватися у випадках та на умов</w:t>
      </w:r>
      <w:r>
        <w:rPr>
          <w:sz w:val="24"/>
          <w:szCs w:val="24"/>
        </w:rPr>
        <w:t>ах, передбачених законодавством і налаштуваннями користувача.</w:t>
      </w:r>
    </w:p>
    <w:p w14:paraId="00000054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10.3. </w:t>
      </w:r>
      <w:r>
        <w:rPr>
          <w:sz w:val="24"/>
          <w:szCs w:val="24"/>
        </w:rPr>
        <w:t>Користувач може обмежити або видалити cookie-файли засобами браузера. Відключення необхідних cookie може вплинути на доступність окремих функцій Вебсайту.</w:t>
      </w:r>
    </w:p>
    <w:p w14:paraId="00000055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10.4. </w:t>
      </w:r>
      <w:r>
        <w:rPr>
          <w:sz w:val="24"/>
          <w:szCs w:val="24"/>
        </w:rPr>
        <w:t>Технічні журнали, IP-адреси та відомості про пристрій можуть використовуватися для кібербезпеки, запобігання шахрайству, розслідування технічних інцидентів та забезпечення стабільності сервісу.</w:t>
      </w:r>
    </w:p>
    <w:p w14:paraId="00000056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10.5. </w:t>
      </w:r>
      <w:r>
        <w:rPr>
          <w:sz w:val="24"/>
          <w:szCs w:val="24"/>
        </w:rPr>
        <w:t>Для забезпечення окремих технічних, аналітичних або кому</w:t>
      </w:r>
      <w:r>
        <w:rPr>
          <w:sz w:val="24"/>
          <w:szCs w:val="24"/>
        </w:rPr>
        <w:t>нікаційних функцій Вебсайту можуть використовуватися сервіси третіх осіб. Такі сервіси можуть застосовувати власні cookie-файли або технічні ідентифікатори в межах, дозволених законодавством та відповідними налаштуваннями користувача. Товариство не поширює</w:t>
      </w:r>
      <w:r>
        <w:rPr>
          <w:sz w:val="24"/>
          <w:szCs w:val="24"/>
        </w:rPr>
        <w:t xml:space="preserve"> на таких осіб право використовувати персональні дані для несумісних із визначеною метою цілей.</w:t>
      </w:r>
    </w:p>
    <w:p w14:paraId="00000057" w14:textId="77777777" w:rsidR="00144392" w:rsidRDefault="00B212C3">
      <w:pPr>
        <w:pStyle w:val="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11. СТРОКИ ЗБЕРІГАННЯ ТА ВИДАЛЕННЯ</w:t>
      </w:r>
    </w:p>
    <w:p w14:paraId="00000058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11.1. Товариство зберігає персональні дані протягом строку, необхідного для досягнення відповідної мети обробки, а також прот</w:t>
      </w:r>
      <w:r>
        <w:rPr>
          <w:b/>
          <w:bCs/>
          <w:sz w:val="24"/>
          <w:szCs w:val="24"/>
        </w:rPr>
        <w:t>ягом строків, прямо встановлених законодавством про азартні ігри, фінансовий моніторинг, бухгалтерський та податковий облік. Інформація онлайн-системи, для якої Закон установлює обов’язковий строк зберігання, зберігається не менше строку дії відповідної лі</w:t>
      </w:r>
      <w:r>
        <w:rPr>
          <w:b/>
          <w:bCs/>
          <w:sz w:val="24"/>
          <w:szCs w:val="24"/>
        </w:rPr>
        <w:t>цензії Товариства та не менше строків давності, встановлених податковим законодавством; для інформації, що стосується різних ліцензованих видів діяльності, строк визначається з урахуванням відповідної ліцензії та застосовних вимог закону.</w:t>
      </w:r>
    </w:p>
    <w:p w14:paraId="00000059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11.2. </w:t>
      </w:r>
      <w:r>
        <w:rPr>
          <w:sz w:val="24"/>
          <w:szCs w:val="24"/>
        </w:rPr>
        <w:t>Якщо окремі</w:t>
      </w:r>
      <w:r>
        <w:rPr>
          <w:sz w:val="24"/>
          <w:szCs w:val="24"/>
        </w:rPr>
        <w:t xml:space="preserve"> дані необхідні для встановлення, здійснення або захисту правової вимоги, вони можуть зберігатися до завершення відповідного спору або закінчення застосовного строку захисту права.</w:t>
      </w:r>
    </w:p>
    <w:p w14:paraId="0000005A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11.3. </w:t>
      </w:r>
      <w:r>
        <w:rPr>
          <w:sz w:val="24"/>
          <w:szCs w:val="24"/>
        </w:rPr>
        <w:t>Персональні дані видаляються або знищуються після закінчення встановленого строку зберігання, припинення правовідносин – якщо інше не передбачено законом, на виконання припису Уповноваженого або рішення суду, а також в інших випадках, визначених законом.</w:t>
      </w:r>
    </w:p>
    <w:p w14:paraId="0000005B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 xml:space="preserve">1.4. </w:t>
      </w:r>
      <w:r>
        <w:rPr>
          <w:sz w:val="24"/>
          <w:szCs w:val="24"/>
        </w:rPr>
        <w:t>Вимога суб’єкта про видалення даних не підлягає виконанню в тій частині, в якій Товариство зобов’язане продовжувати обробку або зберігання відповідних даних на підставі закону.</w:t>
      </w:r>
    </w:p>
    <w:p w14:paraId="0000005C" w14:textId="77777777" w:rsidR="00144392" w:rsidRDefault="00B212C3">
      <w:pPr>
        <w:pStyle w:val="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12. ПРАВА СУБ’ЄКТА ПЕРСОНАЛЬНИХ ДАНИХ</w:t>
      </w:r>
    </w:p>
    <w:p w14:paraId="0000005D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12.1. </w:t>
      </w:r>
      <w:r>
        <w:rPr>
          <w:sz w:val="24"/>
          <w:szCs w:val="24"/>
        </w:rPr>
        <w:t>Суб’єкт персональних даних має</w:t>
      </w:r>
      <w:r>
        <w:rPr>
          <w:sz w:val="24"/>
          <w:szCs w:val="24"/>
        </w:rPr>
        <w:t xml:space="preserve"> права, передбачені статтею 8 Закону України «Про захист персональних даних», зокрема право знати про джерела збирання та місцезнаходження своїх даних, мету їх обробки, умови надання доступу, одержувачів, а також право на доступ до своїх персональних даних</w:t>
      </w:r>
      <w:r>
        <w:rPr>
          <w:sz w:val="24"/>
          <w:szCs w:val="24"/>
        </w:rPr>
        <w:t>.</w:t>
      </w:r>
    </w:p>
    <w:p w14:paraId="0000005E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12.2. </w:t>
      </w:r>
      <w:r>
        <w:rPr>
          <w:sz w:val="24"/>
          <w:szCs w:val="24"/>
        </w:rPr>
        <w:t>Суб’єкт має право пред’являти вмотивоване заперечення проти обробки, вимагати зміни або знищення даних, якщо вони обробляються незаконно чи є недостовірними, відкликати згоду, якщо обробка ґрунтується на згоді, знати механізм автоматичної обробки т</w:t>
      </w:r>
      <w:r>
        <w:rPr>
          <w:sz w:val="24"/>
          <w:szCs w:val="24"/>
        </w:rPr>
        <w:t>а захищатися від автоматизованого рішення, що має для нього правові наслідки.</w:t>
      </w:r>
    </w:p>
    <w:p w14:paraId="0000005F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12.3. </w:t>
      </w:r>
      <w:r>
        <w:rPr>
          <w:sz w:val="24"/>
          <w:szCs w:val="24"/>
        </w:rPr>
        <w:t>Суб’єкт має право звернутися зі скаргою до Уповноваженого Верховної Ради України з прав людини або до суду та застосовувати інші засоби правового захисту.</w:t>
      </w:r>
    </w:p>
    <w:p w14:paraId="00000060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12.4. </w:t>
      </w:r>
      <w:r>
        <w:rPr>
          <w:sz w:val="24"/>
          <w:szCs w:val="24"/>
        </w:rPr>
        <w:t>Запит суб’є</w:t>
      </w:r>
      <w:r>
        <w:rPr>
          <w:sz w:val="24"/>
          <w:szCs w:val="24"/>
        </w:rPr>
        <w:t>кта щодо доступу до його персональних даних розглядається у строки, встановлені законом. Товариство протягом не більше десяти робочих днів повідомляє заявника про можливість задоволення запиту або законну підставу для відмови; запит задовольняється протяго</w:t>
      </w:r>
      <w:r>
        <w:rPr>
          <w:sz w:val="24"/>
          <w:szCs w:val="24"/>
        </w:rPr>
        <w:t>м тридцяти календарних днів, якщо інше не передбачено законом.</w:t>
      </w:r>
    </w:p>
    <w:p w14:paraId="00000061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12.5. </w:t>
      </w:r>
      <w:r>
        <w:rPr>
          <w:sz w:val="24"/>
          <w:szCs w:val="24"/>
        </w:rPr>
        <w:t>Доступ суб’єкта до персональних даних про себе здійснюється безоплатно.</w:t>
      </w:r>
    </w:p>
    <w:p w14:paraId="00000062" w14:textId="77777777" w:rsidR="00144392" w:rsidRDefault="00B212C3">
      <w:pPr>
        <w:pStyle w:val="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13. ЗАХИСТ ПЕРСОНАЛЬНИХ ДАНИХ</w:t>
      </w:r>
    </w:p>
    <w:p w14:paraId="00000063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13.1. </w:t>
      </w:r>
      <w:r>
        <w:rPr>
          <w:sz w:val="24"/>
          <w:szCs w:val="24"/>
        </w:rPr>
        <w:t>Товариство вживає організаційних та технічних заходів, спрямованих на захист пе</w:t>
      </w:r>
      <w:r>
        <w:rPr>
          <w:sz w:val="24"/>
          <w:szCs w:val="24"/>
        </w:rPr>
        <w:t>рсональних даних від випадкових втрати або знищення, незаконної обробки, несанкціонованого доступу, зміни, копіювання чи розголошення.</w:t>
      </w:r>
    </w:p>
    <w:p w14:paraId="00000064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13.2. Заходи захисту можуть включати розмежування прав доступу, автентифікацію користувачів інформаційних систем, журналю</w:t>
      </w:r>
      <w:r>
        <w:rPr>
          <w:b/>
          <w:bCs/>
          <w:sz w:val="24"/>
          <w:szCs w:val="24"/>
        </w:rPr>
        <w:t>вання подій, контроль цілісності та достовірності інформації, резервне копіювання й відновлення, захищені канали передачі інформації, міжмережевий захист, контроль доступу працівників, внутрішні правила конфіденційності та інші організаційні й технічні зах</w:t>
      </w:r>
      <w:r>
        <w:rPr>
          <w:b/>
          <w:bCs/>
          <w:sz w:val="24"/>
          <w:szCs w:val="24"/>
        </w:rPr>
        <w:t>оди відповідно до характеру та ризику обробки.</w:t>
      </w:r>
    </w:p>
    <w:p w14:paraId="00000065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13.3. </w:t>
      </w:r>
      <w:r>
        <w:rPr>
          <w:sz w:val="24"/>
          <w:szCs w:val="24"/>
        </w:rPr>
        <w:t>Працівники Товариства використовують персональні дані виключно відповідно до своїх професійних, службових або трудових обов’язків та зобов’язані не допускати їх розголошення. Таке зобов’язання зберігаєть</w:t>
      </w:r>
      <w:r>
        <w:rPr>
          <w:sz w:val="24"/>
          <w:szCs w:val="24"/>
        </w:rPr>
        <w:t>ся після припинення відповідних трудових або інших відносин, крім випадків, установлених законом.</w:t>
      </w:r>
    </w:p>
    <w:p w14:paraId="00000066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13.4. </w:t>
      </w:r>
      <w:r>
        <w:rPr>
          <w:sz w:val="24"/>
          <w:szCs w:val="24"/>
        </w:rPr>
        <w:t>У випадках, коли закон вимагає визначення структурного підрозділу або відповідальної особи з організації роботи, пов’язаної із захистом персональних дан</w:t>
      </w:r>
      <w:r>
        <w:rPr>
          <w:sz w:val="24"/>
          <w:szCs w:val="24"/>
        </w:rPr>
        <w:t>их, Товариство забезпечує виконання такої вимоги в установленому порядку.</w:t>
      </w:r>
    </w:p>
    <w:p w14:paraId="00000067" w14:textId="77777777" w:rsidR="00144392" w:rsidRDefault="00B212C3">
      <w:pPr>
        <w:pStyle w:val="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14. МАРКЕТИНГОВІ КОМУНІКАЦІЇ</w:t>
      </w:r>
    </w:p>
    <w:p w14:paraId="00000068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14.1. Використання контактних даних для рекламних та маркетингових повідомлень здійснюється лише за наявності належної правової підстави та з дотриманням</w:t>
      </w:r>
      <w:r>
        <w:rPr>
          <w:b/>
          <w:bCs/>
          <w:sz w:val="24"/>
          <w:szCs w:val="24"/>
        </w:rPr>
        <w:t xml:space="preserve"> установлених законодавством спеціальних обмежень щодо реклами та стимулювання азартних ігор.</w:t>
      </w:r>
    </w:p>
    <w:p w14:paraId="00000069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14.2. </w:t>
      </w:r>
      <w:r>
        <w:rPr>
          <w:sz w:val="24"/>
          <w:szCs w:val="24"/>
        </w:rPr>
        <w:t>Якщо маркетингова обробка ґрунтується на згоді, особа має право відкликати таку згоду у будь-який час без впливу на можливість користуватися основними послу</w:t>
      </w:r>
      <w:r>
        <w:rPr>
          <w:sz w:val="24"/>
          <w:szCs w:val="24"/>
        </w:rPr>
        <w:t>гами, якщо інше прямо не передбачено законом.</w:t>
      </w:r>
    </w:p>
    <w:p w14:paraId="0000006A" w14:textId="77777777" w:rsidR="00144392" w:rsidRDefault="00B212C3">
      <w:pPr>
        <w:jc w:val="both"/>
        <w:rPr>
          <w:sz w:val="24"/>
          <w:szCs w:val="24"/>
        </w:rPr>
      </w:pPr>
      <w:bookmarkStart w:id="1" w:name="_heading=h.wpmuiwcvsefi" w:colFirst="0" w:colLast="0"/>
      <w:bookmarkEnd w:id="1"/>
      <w:r>
        <w:rPr>
          <w:b/>
          <w:bCs/>
          <w:sz w:val="24"/>
          <w:szCs w:val="24"/>
        </w:rPr>
        <w:t xml:space="preserve">14.3. </w:t>
      </w:r>
      <w:r>
        <w:rPr>
          <w:sz w:val="24"/>
          <w:szCs w:val="24"/>
        </w:rPr>
        <w:t>Відмова від маркетингових повідомлень не припиняє надсилання сервісних, безпекових або юридично обов’язкових повідомлень, необхідних для виконання договору чи закону.</w:t>
      </w:r>
    </w:p>
    <w:p w14:paraId="0000006B" w14:textId="77777777" w:rsidR="00144392" w:rsidRDefault="00B212C3">
      <w:pPr>
        <w:pStyle w:val="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15. ЗМІНИ ДО ПОЛІТИКИ</w:t>
      </w:r>
    </w:p>
    <w:p w14:paraId="0000006C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15.1. </w:t>
      </w:r>
      <w:r>
        <w:rPr>
          <w:sz w:val="24"/>
          <w:szCs w:val="24"/>
        </w:rPr>
        <w:t>Товариств</w:t>
      </w:r>
      <w:r>
        <w:rPr>
          <w:sz w:val="24"/>
          <w:szCs w:val="24"/>
        </w:rPr>
        <w:t>о може вносити зміни до Політики у зв’язку зі зміною законодавства, функціоналу Вебсайту, складу сервісів, способів обробки даних або інших обставин, що впливають на обробку персональних даних.</w:t>
      </w:r>
    </w:p>
    <w:p w14:paraId="0000006D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15.2. </w:t>
      </w:r>
      <w:r>
        <w:rPr>
          <w:sz w:val="24"/>
          <w:szCs w:val="24"/>
        </w:rPr>
        <w:t>Нова редакція Політики оприлюднюється на Вебсайті із заз</w:t>
      </w:r>
      <w:r>
        <w:rPr>
          <w:sz w:val="24"/>
          <w:szCs w:val="24"/>
        </w:rPr>
        <w:t>наченням дати редакції. Попередні редакції підлягають зберіганню в документації Товариства у порядку, визначеному внутрішніми правилами та законодавством.</w:t>
      </w:r>
    </w:p>
    <w:p w14:paraId="0000006E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15.3. </w:t>
      </w:r>
      <w:r>
        <w:rPr>
          <w:sz w:val="24"/>
          <w:szCs w:val="24"/>
        </w:rPr>
        <w:t>Якщо зміна передбачає нову мету обробки, несумісну з попередньою, Товариство отримує нову згоду</w:t>
      </w:r>
      <w:r>
        <w:rPr>
          <w:sz w:val="24"/>
          <w:szCs w:val="24"/>
        </w:rPr>
        <w:t xml:space="preserve"> суб’єкта персональних даних, якщо інша правова підстава для такої обробки не встановлена законом.</w:t>
      </w:r>
    </w:p>
    <w:p w14:paraId="0000006F" w14:textId="77777777" w:rsidR="00144392" w:rsidRDefault="00B212C3">
      <w:pPr>
        <w:pStyle w:val="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16. ЗВЕРНЕННЯ З ПИТАНЬ ПЕРСОНАЛЬНИХ ДАНИХ</w:t>
      </w:r>
    </w:p>
    <w:p w14:paraId="00000070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16.1. Для реалізації прав суб’єкта персональних даних та звернення з питань приватності особа може використовувати контактні канали служби підтримки, оприлюднені на Вебсайті, або направити письмове звернення за місцезнаходженням Товариства: Україна, 01054,</w:t>
      </w:r>
      <w:r>
        <w:rPr>
          <w:b/>
          <w:bCs/>
          <w:sz w:val="24"/>
          <w:szCs w:val="24"/>
        </w:rPr>
        <w:t xml:space="preserve"> місто Київ, вул. Хмельницького Богдана (Шевченківський р-н), будинок 59-Б, офіс 6.</w:t>
      </w:r>
    </w:p>
    <w:p w14:paraId="00000071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16.2. </w:t>
      </w:r>
      <w:r>
        <w:rPr>
          <w:sz w:val="24"/>
          <w:szCs w:val="24"/>
        </w:rPr>
        <w:t>Для захисту від несанкціонованого доступу Товариство має право в обсязі, необхідному для виконання запиту, перевірити особу заявника та його повноваження.</w:t>
      </w:r>
    </w:p>
    <w:p w14:paraId="00000072" w14:textId="77777777" w:rsidR="00144392" w:rsidRDefault="00B212C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16.3. Чинна</w:t>
      </w:r>
      <w:r>
        <w:rPr>
          <w:b/>
          <w:bCs/>
          <w:sz w:val="24"/>
          <w:szCs w:val="24"/>
        </w:rPr>
        <w:t xml:space="preserve"> редакція Політики розміщується на Вебсайті https://partypoker.ua.</w:t>
      </w:r>
    </w:p>
    <w:sectPr w:rsidR="00144392">
      <w:footerReference w:type="default" r:id="rId8"/>
      <w:pgSz w:w="12240" w:h="15840"/>
      <w:pgMar w:top="1020" w:right="1020" w:bottom="1020" w:left="124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657AAD" w14:textId="77777777" w:rsidR="00B212C3" w:rsidRDefault="00B212C3">
      <w:pPr>
        <w:spacing w:after="0" w:line="240" w:lineRule="auto"/>
      </w:pPr>
      <w:r>
        <w:separator/>
      </w:r>
    </w:p>
  </w:endnote>
  <w:endnote w:type="continuationSeparator" w:id="0">
    <w:p w14:paraId="5C88AA54" w14:textId="77777777" w:rsidR="00B212C3" w:rsidRDefault="00B21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C2B9EE13-46C4-40CA-B3D5-1FFB40E3D1FE}"/>
    <w:embedBold r:id="rId2" w:fontKey="{4AC37C2B-8912-4353-A11C-702BB8A9F73C}"/>
    <w:embedItalic r:id="rId3" w:fontKey="{155EDE8C-6F74-4853-82A6-42A673181039}"/>
    <w:embedBoldItalic r:id="rId4" w:fontKey="{6DB6056E-69CB-4964-B317-43D090BC301B}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99A579B3-177F-4572-A846-9DBD2E161C3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3" w14:textId="751880BC" w:rsidR="00144392" w:rsidRDefault="00B212C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 w:rsidR="00BD6C68">
      <w:rPr>
        <w:color w:val="000000"/>
        <w:sz w:val="18"/>
        <w:szCs w:val="18"/>
      </w:rPr>
      <w:fldChar w:fldCharType="separate"/>
    </w:r>
    <w:r w:rsidR="00BD6C68">
      <w:rPr>
        <w:noProof/>
        <w:color w:val="000000"/>
        <w:sz w:val="18"/>
        <w:szCs w:val="18"/>
      </w:rPr>
      <w:t>2</w:t>
    </w:r>
    <w:r>
      <w:rPr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402AAA" w14:textId="77777777" w:rsidR="00B212C3" w:rsidRDefault="00B212C3">
      <w:pPr>
        <w:spacing w:after="0" w:line="240" w:lineRule="auto"/>
      </w:pPr>
      <w:r>
        <w:separator/>
      </w:r>
    </w:p>
  </w:footnote>
  <w:footnote w:type="continuationSeparator" w:id="0">
    <w:p w14:paraId="3A6F3AA2" w14:textId="77777777" w:rsidR="00B212C3" w:rsidRDefault="00B212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E44E7"/>
    <w:multiLevelType w:val="multilevel"/>
    <w:tmpl w:val="429A86A4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392"/>
    <w:rsid w:val="00144392"/>
    <w:rsid w:val="00B212C3"/>
    <w:rsid w:val="00BD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E217F"/>
  <w15:docId w15:val="{C925ED58-0BA3-4498-BF26-407FE9D1B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" w:eastAsia="ru-RU" w:bidi="ar-SA"/>
      </w:rPr>
    </w:rPrDefault>
    <w:pPrDefault>
      <w:pPr>
        <w:spacing w:after="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</w:style>
  <w:style w:type="paragraph" w:styleId="1">
    <w:name w:val="heading 1"/>
    <w:basedOn w:val="a0"/>
    <w:next w:val="a0"/>
    <w:pPr>
      <w:keepNext/>
      <w:keepLines/>
      <w:spacing w:before="160" w:after="80"/>
      <w:outlineLvl w:val="0"/>
    </w:pPr>
    <w:rPr>
      <w:rFonts w:ascii="Calibri" w:eastAsia="Calibri" w:hAnsi="Calibri" w:cs="Calibri"/>
      <w:b/>
      <w:bCs/>
      <w:color w:val="366091"/>
      <w:sz w:val="24"/>
      <w:szCs w:val="24"/>
    </w:rPr>
  </w:style>
  <w:style w:type="paragraph" w:styleId="2">
    <w:name w:val="heading 2"/>
    <w:basedOn w:val="a0"/>
    <w:next w:val="a0"/>
    <w:pPr>
      <w:keepNext/>
      <w:keepLines/>
      <w:spacing w:before="160" w:after="80"/>
      <w:outlineLvl w:val="1"/>
    </w:pPr>
    <w:rPr>
      <w:rFonts w:ascii="Calibri" w:eastAsia="Calibri" w:hAnsi="Calibri" w:cs="Calibri"/>
      <w:b/>
      <w:bCs/>
      <w:color w:val="4F81BD"/>
    </w:rPr>
  </w:style>
  <w:style w:type="paragraph" w:styleId="3">
    <w:name w:val="heading 3"/>
    <w:basedOn w:val="a0"/>
    <w:next w:val="a0"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4">
    <w:name w:val="heading 4"/>
    <w:basedOn w:val="a0"/>
    <w:next w:val="a0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5">
    <w:name w:val="heading 5"/>
    <w:basedOn w:val="a0"/>
    <w:next w:val="a0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6">
    <w:name w:val="heading 6"/>
    <w:basedOn w:val="a0"/>
    <w:next w:val="a0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7">
    <w:name w:val="heading 7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Title"/>
    <w:basedOn w:val="a0"/>
    <w:next w:val="a0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a5">
    <w:name w:val="header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E618BF"/>
  </w:style>
  <w:style w:type="paragraph" w:styleId="a7">
    <w:name w:val="footer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a">
    <w:name w:val="Заголовок Знак"/>
    <w:basedOn w:val="a1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Подзаголовок Знак"/>
    <w:basedOn w:val="a1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c">
    <w:name w:val="List Paragraph"/>
    <w:uiPriority w:val="34"/>
    <w:qFormat/>
    <w:rsid w:val="00FC693F"/>
    <w:pPr>
      <w:ind w:left="720"/>
      <w:contextualSpacing/>
    </w:pPr>
  </w:style>
  <w:style w:type="paragraph" w:styleId="ad">
    <w:name w:val="Body Text"/>
    <w:link w:val="ae"/>
    <w:uiPriority w:val="99"/>
    <w:unhideWhenUsed/>
    <w:rsid w:val="00AA1D8D"/>
    <w:pPr>
      <w:spacing w:after="120"/>
    </w:pPr>
  </w:style>
  <w:style w:type="character" w:customStyle="1" w:styleId="ae">
    <w:name w:val="Основной текст Знак"/>
    <w:basedOn w:val="a1"/>
    <w:link w:val="ad"/>
    <w:uiPriority w:val="99"/>
    <w:rsid w:val="00AA1D8D"/>
  </w:style>
  <w:style w:type="paragraph" w:styleId="21">
    <w:name w:val="Body Text 2"/>
    <w:link w:val="22"/>
    <w:uiPriority w:val="99"/>
    <w:unhideWhenUsed/>
    <w:rsid w:val="00AA1D8D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AA1D8D"/>
  </w:style>
  <w:style w:type="paragraph" w:styleId="31">
    <w:name w:val="Body Text 3"/>
    <w:link w:val="32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AA1D8D"/>
    <w:rPr>
      <w:sz w:val="16"/>
      <w:szCs w:val="16"/>
    </w:rPr>
  </w:style>
  <w:style w:type="paragraph" w:styleId="af">
    <w:name w:val="List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uiPriority w:val="99"/>
    <w:unhideWhenUsed/>
    <w:rsid w:val="00326F90"/>
    <w:pPr>
      <w:ind w:left="1080" w:hanging="360"/>
      <w:contextualSpacing/>
    </w:pPr>
  </w:style>
  <w:style w:type="paragraph" w:styleId="a">
    <w:name w:val="List Bullet"/>
    <w:uiPriority w:val="99"/>
    <w:unhideWhenUsed/>
    <w:rsid w:val="00326F90"/>
    <w:pPr>
      <w:numPr>
        <w:numId w:val="1"/>
      </w:numPr>
      <w:contextualSpacing/>
    </w:pPr>
  </w:style>
  <w:style w:type="paragraph" w:styleId="24">
    <w:name w:val="List Bullet 2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34">
    <w:name w:val="List Bullet 3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af0">
    <w:name w:val="List Number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25">
    <w:name w:val="List Number 2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35">
    <w:name w:val="List Number 3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af1">
    <w:name w:val="List Continue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uiPriority w:val="99"/>
    <w:unhideWhenUsed/>
    <w:rsid w:val="0029639D"/>
    <w:pPr>
      <w:spacing w:after="120"/>
      <w:ind w:left="1080"/>
      <w:contextualSpacing/>
    </w:pPr>
  </w:style>
  <w:style w:type="paragraph" w:styleId="af2">
    <w:name w:val="macro"/>
    <w:link w:val="af3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3">
    <w:name w:val="Текст макроса Знак"/>
    <w:basedOn w:val="a1"/>
    <w:link w:val="af2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1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1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4">
    <w:name w:val="captio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5">
    <w:name w:val="Strong"/>
    <w:basedOn w:val="a1"/>
    <w:uiPriority w:val="22"/>
    <w:qFormat/>
    <w:rsid w:val="00FC693F"/>
    <w:rPr>
      <w:b/>
      <w:bCs/>
    </w:rPr>
  </w:style>
  <w:style w:type="character" w:styleId="af6">
    <w:name w:val="Emphasis"/>
    <w:basedOn w:val="a1"/>
    <w:uiPriority w:val="20"/>
    <w:qFormat/>
    <w:rsid w:val="00FC693F"/>
    <w:rPr>
      <w:i/>
      <w:iCs/>
    </w:rPr>
  </w:style>
  <w:style w:type="paragraph" w:styleId="af7">
    <w:name w:val="Intense Quote"/>
    <w:link w:val="af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8">
    <w:name w:val="Выделенная цитата Знак"/>
    <w:basedOn w:val="a1"/>
    <w:link w:val="af7"/>
    <w:uiPriority w:val="30"/>
    <w:rsid w:val="00FC693F"/>
    <w:rPr>
      <w:b/>
      <w:bCs/>
      <w:i/>
      <w:iCs/>
      <w:color w:val="4F81BD" w:themeColor="accent1"/>
    </w:rPr>
  </w:style>
  <w:style w:type="character" w:styleId="af9">
    <w:name w:val="Subtle Emphasis"/>
    <w:basedOn w:val="a1"/>
    <w:uiPriority w:val="19"/>
    <w:qFormat/>
    <w:rsid w:val="00FC693F"/>
    <w:rPr>
      <w:i/>
      <w:iCs/>
      <w:color w:val="808080" w:themeColor="text1" w:themeTint="7F"/>
    </w:rPr>
  </w:style>
  <w:style w:type="character" w:styleId="afa">
    <w:name w:val="Intense Emphasis"/>
    <w:basedOn w:val="a1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1"/>
    <w:uiPriority w:val="31"/>
    <w:qFormat/>
    <w:rsid w:val="00FC693F"/>
    <w:rPr>
      <w:smallCaps/>
      <w:color w:val="C0504D" w:themeColor="accent2"/>
      <w:u w:val="single"/>
    </w:rPr>
  </w:style>
  <w:style w:type="character" w:styleId="afc">
    <w:name w:val="Intense Reference"/>
    <w:basedOn w:val="a1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d">
    <w:name w:val="Book Title"/>
    <w:basedOn w:val="a1"/>
    <w:uiPriority w:val="33"/>
    <w:qFormat/>
    <w:rsid w:val="00FC693F"/>
    <w:rPr>
      <w:b/>
      <w:bCs/>
      <w:smallCaps/>
      <w:spacing w:val="5"/>
    </w:rPr>
  </w:style>
  <w:style w:type="paragraph" w:styleId="afe">
    <w:name w:val="TOC Heading"/>
    <w:uiPriority w:val="39"/>
    <w:semiHidden/>
    <w:unhideWhenUsed/>
    <w:qFormat/>
    <w:rsid w:val="00FC693F"/>
  </w:style>
  <w:style w:type="table" w:styleId="aff">
    <w:name w:val="Table Grid"/>
    <w:basedOn w:val="a2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0">
    <w:name w:val="Light Shading"/>
    <w:basedOn w:val="a2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2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2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2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2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2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2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1">
    <w:name w:val="Light List"/>
    <w:basedOn w:val="a2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2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2">
    <w:name w:val="Light Grid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3">
    <w:name w:val="Dark List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4">
    <w:name w:val="Colorful Shading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5">
    <w:name w:val="Colorful List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6">
    <w:name w:val="Colorful Grid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7">
    <w:name w:val="Subtitle"/>
    <w:basedOn w:val="a0"/>
    <w:next w:val="a0"/>
    <w:rPr>
      <w:rFonts w:ascii="Calibri" w:eastAsia="Calibri" w:hAnsi="Calibri" w:cs="Calibri"/>
      <w:i/>
      <w:iCs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ufhCa62kM3HV0nVGxdWkU8pyoA==">CgMxLjAyDmgud3BtdWl3Y3ZzZWZpOAByITFjcnhjZF9NZU83dXhMaGQzeUxtUlp0YXYxYUZSbTB2Ng==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3748</Words>
  <Characters>21364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ТОВ «ПАТІ ПЛЕНЕТ»</dc:creator>
  <cp:lastModifiedBy>Dmytro Maksymov</cp:lastModifiedBy>
  <cp:revision>2</cp:revision>
  <dcterms:created xsi:type="dcterms:W3CDTF">2026-09-04T10:00:00Z</dcterms:created>
  <dcterms:modified xsi:type="dcterms:W3CDTF">2026-09-04T10:00:00Z</dcterms:modified>
</cp:coreProperties>
</file>