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27C7D" w:rsidRPr="00FA2CEC" w:rsidRDefault="00B27C7D">
      <w:pPr>
        <w:spacing w:after="100" w:line="240" w:lineRule="auto"/>
        <w:jc w:val="center"/>
        <w:rPr>
          <w:rFonts w:ascii="Times New Roman" w:hAnsi="Times New Roman" w:cs="Times New Roman"/>
          <w:sz w:val="24"/>
          <w:szCs w:val="24"/>
        </w:rPr>
      </w:pPr>
    </w:p>
    <w:p w:rsidR="00B27C7D" w:rsidRPr="00FA2CEC" w:rsidRDefault="005D7BE8">
      <w:pPr>
        <w:spacing w:before="80" w:after="0" w:line="240" w:lineRule="auto"/>
        <w:jc w:val="center"/>
        <w:rPr>
          <w:rFonts w:ascii="Times New Roman" w:hAnsi="Times New Roman" w:cs="Times New Roman"/>
          <w:sz w:val="24"/>
          <w:szCs w:val="24"/>
          <w:lang w:val="ru-RU"/>
        </w:rPr>
      </w:pPr>
      <w:bookmarkStart w:id="0" w:name="_GoBack"/>
      <w:bookmarkEnd w:id="0"/>
      <w:r w:rsidRPr="00FA2CEC">
        <w:rPr>
          <w:rFonts w:ascii="Times New Roman" w:eastAsia="Times New Roman" w:hAnsi="Times New Roman" w:cs="Times New Roman"/>
          <w:b/>
          <w:sz w:val="24"/>
          <w:szCs w:val="24"/>
          <w:lang w:val="ru-RU"/>
        </w:rPr>
        <w:t>ПРИНЦИПИ ВІДПОВІДАЛЬНОЇ ГРИ</w:t>
      </w:r>
    </w:p>
    <w:p w:rsidR="00B27C7D" w:rsidRPr="00FA2CEC" w:rsidRDefault="005D7BE8">
      <w:pPr>
        <w:spacing w:after="0" w:line="240" w:lineRule="auto"/>
        <w:jc w:val="center"/>
        <w:rPr>
          <w:rFonts w:ascii="Times New Roman" w:hAnsi="Times New Roman" w:cs="Times New Roman"/>
          <w:sz w:val="24"/>
          <w:szCs w:val="24"/>
          <w:lang w:val="ru-RU"/>
        </w:rPr>
      </w:pPr>
      <w:r w:rsidRPr="00FA2CEC">
        <w:rPr>
          <w:rFonts w:ascii="Times New Roman" w:eastAsia="Times New Roman" w:hAnsi="Times New Roman" w:cs="Times New Roman"/>
          <w:b/>
          <w:sz w:val="24"/>
          <w:szCs w:val="24"/>
          <w:lang w:val="ru-RU"/>
        </w:rPr>
        <w:t>ТОВ «ПАТІ ПЛЕНЕТ»</w:t>
      </w:r>
    </w:p>
    <w:p w:rsidR="00B27C7D" w:rsidRPr="00FA2CEC" w:rsidRDefault="005D7BE8">
      <w:pPr>
        <w:spacing w:after="160" w:line="240" w:lineRule="auto"/>
        <w:jc w:val="center"/>
        <w:rPr>
          <w:rFonts w:ascii="Times New Roman" w:hAnsi="Times New Roman" w:cs="Times New Roman"/>
          <w:sz w:val="24"/>
          <w:szCs w:val="24"/>
          <w:lang w:val="ru-RU"/>
        </w:rPr>
      </w:pPr>
      <w:r w:rsidRPr="00FA2CEC">
        <w:rPr>
          <w:rFonts w:ascii="Times New Roman" w:eastAsia="Times New Roman" w:hAnsi="Times New Roman" w:cs="Times New Roman"/>
          <w:b/>
          <w:i/>
          <w:sz w:val="24"/>
          <w:szCs w:val="24"/>
          <w:lang w:val="ru-RU"/>
        </w:rPr>
        <w:t xml:space="preserve">редакція </w:t>
      </w:r>
      <w:r w:rsidRPr="00FA2CEC">
        <w:rPr>
          <w:rFonts w:ascii="Times New Roman" w:eastAsia="Times New Roman" w:hAnsi="Times New Roman" w:cs="Times New Roman"/>
          <w:b/>
          <w:i/>
          <w:sz w:val="24"/>
          <w:szCs w:val="24"/>
        </w:rPr>
        <w:t>V</w:t>
      </w:r>
      <w:r w:rsidRPr="00FA2CEC">
        <w:rPr>
          <w:rFonts w:ascii="Times New Roman" w:eastAsia="Times New Roman" w:hAnsi="Times New Roman" w:cs="Times New Roman"/>
          <w:b/>
          <w:i/>
          <w:sz w:val="24"/>
          <w:szCs w:val="24"/>
          <w:lang w:val="ru-RU"/>
        </w:rPr>
        <w:t>7.0 станом на 26 травня 2026 року</w:t>
      </w:r>
    </w:p>
    <w:p w:rsidR="00B27C7D" w:rsidRPr="00FA2CEC" w:rsidRDefault="005D7BE8">
      <w:pPr>
        <w:spacing w:after="40" w:line="240" w:lineRule="auto"/>
        <w:ind w:firstLine="454"/>
        <w:jc w:val="both"/>
        <w:rPr>
          <w:rFonts w:ascii="Times New Roman" w:hAnsi="Times New Roman" w:cs="Times New Roman"/>
          <w:sz w:val="24"/>
          <w:szCs w:val="24"/>
          <w:lang w:val="ru-RU"/>
        </w:rPr>
      </w:pPr>
      <w:r w:rsidRPr="00FA2CEC">
        <w:rPr>
          <w:rFonts w:ascii="Times New Roman" w:eastAsia="Times New Roman" w:hAnsi="Times New Roman" w:cs="Times New Roman"/>
          <w:sz w:val="24"/>
          <w:szCs w:val="24"/>
          <w:lang w:val="ru-RU"/>
        </w:rPr>
        <w:t>Товариство з обмеженою відповідальністю «ПАТІ ПЛЕНЕТ» розглядає азартні ігри виключно як один із видів розваги та вживає заходів для запобігання і мінімізації негативних наслідків участі фізичної особи в азартній грі, підтримання самоконтролю гравців і недопущення участі осіб, яким така участь заборонена законодавством.</w:t>
      </w:r>
    </w:p>
    <w:p w:rsidR="00B27C7D" w:rsidRPr="00FA2CEC" w:rsidRDefault="005D7BE8">
      <w:pPr>
        <w:keepNext/>
        <w:spacing w:before="140" w:after="60" w:line="240" w:lineRule="auto"/>
        <w:rPr>
          <w:rFonts w:ascii="Times New Roman" w:hAnsi="Times New Roman" w:cs="Times New Roman"/>
          <w:sz w:val="24"/>
          <w:szCs w:val="24"/>
          <w:lang w:val="ru-RU"/>
        </w:rPr>
      </w:pPr>
      <w:r w:rsidRPr="00FA2CEC">
        <w:rPr>
          <w:rFonts w:ascii="Times New Roman" w:eastAsia="Times New Roman" w:hAnsi="Times New Roman" w:cs="Times New Roman"/>
          <w:b/>
          <w:sz w:val="24"/>
          <w:szCs w:val="24"/>
          <w:lang w:val="ru-RU"/>
        </w:rPr>
        <w:t>1. ЗАГАЛЬНІ ПОЛОЖЕННЯ</w:t>
      </w:r>
    </w:p>
    <w:p w:rsidR="00B27C7D" w:rsidRPr="00FA2CEC" w:rsidRDefault="005D7BE8">
      <w:pPr>
        <w:spacing w:after="20" w:line="240" w:lineRule="auto"/>
        <w:jc w:val="both"/>
        <w:rPr>
          <w:rFonts w:ascii="Times New Roman" w:hAnsi="Times New Roman" w:cs="Times New Roman"/>
          <w:sz w:val="24"/>
          <w:szCs w:val="24"/>
          <w:lang w:val="ru-RU"/>
        </w:rPr>
      </w:pPr>
      <w:r w:rsidRPr="00FA2CEC">
        <w:rPr>
          <w:rFonts w:ascii="Times New Roman" w:eastAsia="Times New Roman" w:hAnsi="Times New Roman" w:cs="Times New Roman"/>
          <w:sz w:val="24"/>
          <w:szCs w:val="24"/>
          <w:lang w:val="ru-RU"/>
        </w:rPr>
        <w:t xml:space="preserve">1.1. Ці Принципи визначають підхід ТОВ «ПАТІ ПЛЕНЕТ» (далі – «Товариство», «Компанія» або «Організатор») до відповідальної гри під час організації та проведення на вебсайті </w:t>
      </w:r>
      <w:r w:rsidRPr="00FA2CEC">
        <w:rPr>
          <w:rFonts w:ascii="Times New Roman" w:eastAsia="Times New Roman" w:hAnsi="Times New Roman" w:cs="Times New Roman"/>
          <w:sz w:val="24"/>
          <w:szCs w:val="24"/>
        </w:rPr>
        <w:t>https</w:t>
      </w:r>
      <w:r w:rsidRPr="00FA2CEC">
        <w:rPr>
          <w:rFonts w:ascii="Times New Roman" w:eastAsia="Times New Roman" w:hAnsi="Times New Roman" w:cs="Times New Roman"/>
          <w:sz w:val="24"/>
          <w:szCs w:val="24"/>
          <w:lang w:val="ru-RU"/>
        </w:rPr>
        <w:t>://</w:t>
      </w:r>
      <w:r w:rsidRPr="00FA2CEC">
        <w:rPr>
          <w:rFonts w:ascii="Times New Roman" w:eastAsia="Times New Roman" w:hAnsi="Times New Roman" w:cs="Times New Roman"/>
          <w:sz w:val="24"/>
          <w:szCs w:val="24"/>
        </w:rPr>
        <w:t>partypoker</w:t>
      </w:r>
      <w:r w:rsidRPr="00FA2CEC">
        <w:rPr>
          <w:rFonts w:ascii="Times New Roman" w:eastAsia="Times New Roman" w:hAnsi="Times New Roman" w:cs="Times New Roman"/>
          <w:sz w:val="24"/>
          <w:szCs w:val="24"/>
          <w:lang w:val="ru-RU"/>
        </w:rPr>
        <w:t>.</w:t>
      </w:r>
      <w:r w:rsidRPr="00FA2CEC">
        <w:rPr>
          <w:rFonts w:ascii="Times New Roman" w:eastAsia="Times New Roman" w:hAnsi="Times New Roman" w:cs="Times New Roman"/>
          <w:sz w:val="24"/>
          <w:szCs w:val="24"/>
        </w:rPr>
        <w:t>ua</w:t>
      </w:r>
      <w:r w:rsidRPr="00FA2CEC">
        <w:rPr>
          <w:rFonts w:ascii="Times New Roman" w:eastAsia="Times New Roman" w:hAnsi="Times New Roman" w:cs="Times New Roman"/>
          <w:sz w:val="24"/>
          <w:szCs w:val="24"/>
          <w:lang w:val="ru-RU"/>
        </w:rPr>
        <w:t xml:space="preserve"> (далі – «Вебсайт») під брендом </w:t>
      </w:r>
      <w:r w:rsidRPr="00FA2CEC">
        <w:rPr>
          <w:rFonts w:ascii="Times New Roman" w:eastAsia="Times New Roman" w:hAnsi="Times New Roman" w:cs="Times New Roman"/>
          <w:sz w:val="24"/>
          <w:szCs w:val="24"/>
        </w:rPr>
        <w:t>Party</w:t>
      </w:r>
      <w:r w:rsidRPr="00FA2CEC">
        <w:rPr>
          <w:rFonts w:ascii="Times New Roman" w:eastAsia="Times New Roman" w:hAnsi="Times New Roman" w:cs="Times New Roman"/>
          <w:sz w:val="24"/>
          <w:szCs w:val="24"/>
          <w:lang w:val="ru-RU"/>
        </w:rPr>
        <w:t xml:space="preserve"> </w:t>
      </w:r>
      <w:r w:rsidRPr="00FA2CEC">
        <w:rPr>
          <w:rFonts w:ascii="Times New Roman" w:eastAsia="Times New Roman" w:hAnsi="Times New Roman" w:cs="Times New Roman"/>
          <w:sz w:val="24"/>
          <w:szCs w:val="24"/>
        </w:rPr>
        <w:t>Poker</w:t>
      </w:r>
      <w:r w:rsidRPr="00FA2CEC">
        <w:rPr>
          <w:rFonts w:ascii="Times New Roman" w:eastAsia="Times New Roman" w:hAnsi="Times New Roman" w:cs="Times New Roman"/>
          <w:sz w:val="24"/>
          <w:szCs w:val="24"/>
          <w:lang w:val="ru-RU"/>
        </w:rPr>
        <w:t xml:space="preserve"> двох окремих ліцензованих видів діяльності: азартних ігор казино в мережі Інтернет та азартних ігор у покер у мережі Інтернет. Ліцензію на організацію та проведення азартних ігор казино в мережі Інтернет видано Товариству 25.09.2024 відповідно до рішення КРАІЛ від 19.09.2024 № 447, а ліцензію на організацію та проведення азартних ігор у покер у мережі Інтернет – 26.05.2026 відповідно до рішення Державного агентства України ПлейСіті від 14.05.2026 № 187-Р.</w:t>
      </w:r>
    </w:p>
    <w:p w:rsidR="00B27C7D" w:rsidRPr="00FA2CEC" w:rsidRDefault="005D7BE8">
      <w:pPr>
        <w:spacing w:after="20" w:line="240" w:lineRule="auto"/>
        <w:jc w:val="both"/>
        <w:rPr>
          <w:rFonts w:ascii="Times New Roman" w:hAnsi="Times New Roman" w:cs="Times New Roman"/>
          <w:sz w:val="24"/>
          <w:szCs w:val="24"/>
          <w:lang w:val="ru-RU"/>
        </w:rPr>
      </w:pPr>
      <w:r w:rsidRPr="00FA2CEC">
        <w:rPr>
          <w:rFonts w:ascii="Times New Roman" w:eastAsia="Times New Roman" w:hAnsi="Times New Roman" w:cs="Times New Roman"/>
          <w:sz w:val="24"/>
          <w:szCs w:val="24"/>
          <w:lang w:val="ru-RU"/>
        </w:rPr>
        <w:t>1.2. Терміни, не визначені цими Принципами, застосовуються у значеннях, наведених у Законі України «Про державне регулювання діяльності щодо організації та проведення азартних ігор» та Правилах організатора азартних ігор Товариства.</w:t>
      </w:r>
    </w:p>
    <w:p w:rsidR="00B27C7D" w:rsidRPr="00FA2CEC" w:rsidRDefault="005D7BE8">
      <w:pPr>
        <w:spacing w:after="20" w:line="240" w:lineRule="auto"/>
        <w:jc w:val="both"/>
        <w:rPr>
          <w:rFonts w:ascii="Times New Roman" w:hAnsi="Times New Roman" w:cs="Times New Roman"/>
          <w:sz w:val="24"/>
          <w:szCs w:val="24"/>
          <w:lang w:val="ru-RU"/>
        </w:rPr>
      </w:pPr>
      <w:r w:rsidRPr="00FA2CEC">
        <w:rPr>
          <w:rFonts w:ascii="Times New Roman" w:eastAsia="Times New Roman" w:hAnsi="Times New Roman" w:cs="Times New Roman"/>
          <w:sz w:val="24"/>
          <w:szCs w:val="24"/>
          <w:lang w:val="ru-RU"/>
        </w:rPr>
        <w:t>1.3. Принципи розроблено відповідно до Закону України «Про державне регулювання діяльності щодо організації та проведення азартних ігор» № 768-</w:t>
      </w:r>
      <w:r w:rsidRPr="00FA2CEC">
        <w:rPr>
          <w:rFonts w:ascii="Times New Roman" w:eastAsia="Times New Roman" w:hAnsi="Times New Roman" w:cs="Times New Roman"/>
          <w:sz w:val="24"/>
          <w:szCs w:val="24"/>
        </w:rPr>
        <w:t>IX</w:t>
      </w:r>
      <w:r w:rsidRPr="00FA2CEC">
        <w:rPr>
          <w:rFonts w:ascii="Times New Roman" w:eastAsia="Times New Roman" w:hAnsi="Times New Roman" w:cs="Times New Roman"/>
          <w:sz w:val="24"/>
          <w:szCs w:val="24"/>
          <w:lang w:val="ru-RU"/>
        </w:rPr>
        <w:t xml:space="preserve"> у редакції, чинній станом на 26.05.2026, Принципів відповідальної гри, затверджених наказом Міністерства цифрової трансформації України від 26.08.2025 № 150, зареєстрованим у Міністерстві юстиції України 03.09.2025 за № 1279/44685, Вимог щодо боротьби з вираженою ігровою залежністю (лудоманією), затверджених рішенням КРАІЛ від 13.12.2022 № 423, Вимог щодо боротьби з вираженою ігровою залежністю (лудоманією), затверджених постановою Кабінету Міністрів України від 29.10.2025 № 1370, а також наказу Міністерства цифрової трансформації України від 26.12.2025 № 207 «Про встановлення лімітів витрат гравця на азартну гру та часу участі гравця в азартній грі», зареєстрованого у Міністерстві юстиції України 31.12.2025 за № 1967/45373.</w:t>
      </w:r>
    </w:p>
    <w:p w:rsidR="00B27C7D" w:rsidRPr="00FA2CEC" w:rsidRDefault="005D7BE8">
      <w:pPr>
        <w:spacing w:after="20" w:line="240" w:lineRule="auto"/>
        <w:jc w:val="both"/>
        <w:rPr>
          <w:rFonts w:ascii="Times New Roman" w:hAnsi="Times New Roman" w:cs="Times New Roman"/>
          <w:sz w:val="24"/>
          <w:szCs w:val="24"/>
          <w:lang w:val="ru-RU"/>
        </w:rPr>
      </w:pPr>
      <w:r w:rsidRPr="00FA2CEC">
        <w:rPr>
          <w:rFonts w:ascii="Times New Roman" w:eastAsia="Times New Roman" w:hAnsi="Times New Roman" w:cs="Times New Roman"/>
          <w:sz w:val="24"/>
          <w:szCs w:val="24"/>
          <w:lang w:val="ru-RU"/>
        </w:rPr>
        <w:t>1.4. Відповідальна гра означає організацію азартних ігор із застосуванням заходів, спрямованих на попередження та мінімізацію негативних наслідків участі в азартній грі, забезпечення самоконтролю і самообмеження гравців та захист осіб, які не можуть брати участь в азартних іграх.</w:t>
      </w:r>
    </w:p>
    <w:p w:rsidR="00B27C7D" w:rsidRPr="00FA2CEC" w:rsidRDefault="005D7BE8">
      <w:pPr>
        <w:spacing w:after="20" w:line="240" w:lineRule="auto"/>
        <w:jc w:val="both"/>
        <w:rPr>
          <w:rFonts w:ascii="Times New Roman" w:hAnsi="Times New Roman" w:cs="Times New Roman"/>
          <w:sz w:val="24"/>
          <w:szCs w:val="24"/>
          <w:lang w:val="ru-RU"/>
        </w:rPr>
      </w:pPr>
      <w:r w:rsidRPr="00FA2CEC">
        <w:rPr>
          <w:rFonts w:ascii="Times New Roman" w:eastAsia="Times New Roman" w:hAnsi="Times New Roman" w:cs="Times New Roman"/>
          <w:sz w:val="24"/>
          <w:szCs w:val="24"/>
          <w:lang w:val="ru-RU"/>
        </w:rPr>
        <w:t>1.5. Ці Принципи застосовуються разом із Правилами організатора азартних ігор, Правилами проведення та участі в азартних іграх казино в мережі Інтернет, Правилами проведення та участі в азартних іграх у покер у мережі Інтернет, процедурами ідентифікації/верифікації та іншими внутрішніми документами Товариства.</w:t>
      </w:r>
    </w:p>
    <w:p w:rsidR="00B27C7D" w:rsidRPr="00FA2CEC" w:rsidRDefault="005D7BE8">
      <w:pPr>
        <w:keepNext/>
        <w:spacing w:before="140" w:after="60" w:line="240" w:lineRule="auto"/>
        <w:rPr>
          <w:rFonts w:ascii="Times New Roman" w:hAnsi="Times New Roman" w:cs="Times New Roman"/>
          <w:sz w:val="24"/>
          <w:szCs w:val="24"/>
          <w:lang w:val="ru-RU"/>
        </w:rPr>
      </w:pPr>
      <w:r w:rsidRPr="00FA2CEC">
        <w:rPr>
          <w:rFonts w:ascii="Times New Roman" w:eastAsia="Times New Roman" w:hAnsi="Times New Roman" w:cs="Times New Roman"/>
          <w:b/>
          <w:sz w:val="24"/>
          <w:szCs w:val="24"/>
          <w:lang w:val="ru-RU"/>
        </w:rPr>
        <w:t>2. ОСНОВНІ ПРИНЦИПИ ВІДПОВІДАЛЬНОЇ ГРИ</w:t>
      </w:r>
    </w:p>
    <w:p w:rsidR="00B27C7D" w:rsidRPr="00FA2CEC" w:rsidRDefault="005D7BE8">
      <w:pPr>
        <w:spacing w:after="20" w:line="240" w:lineRule="auto"/>
        <w:jc w:val="both"/>
        <w:rPr>
          <w:rFonts w:ascii="Times New Roman" w:hAnsi="Times New Roman" w:cs="Times New Roman"/>
          <w:sz w:val="24"/>
          <w:szCs w:val="24"/>
          <w:lang w:val="ru-RU"/>
        </w:rPr>
      </w:pPr>
      <w:r w:rsidRPr="00FA2CEC">
        <w:rPr>
          <w:rFonts w:ascii="Times New Roman" w:eastAsia="Times New Roman" w:hAnsi="Times New Roman" w:cs="Times New Roman"/>
          <w:sz w:val="24"/>
          <w:szCs w:val="24"/>
          <w:lang w:val="ru-RU"/>
        </w:rPr>
        <w:t>2.1. Товариство забезпечує ідентифікацію та верифікацію особи до її допуску до участі в азартній грі у порядку, визначеному законодавством і Правилами організатора.</w:t>
      </w:r>
    </w:p>
    <w:p w:rsidR="00B27C7D" w:rsidRPr="00FA2CEC" w:rsidRDefault="005D7BE8">
      <w:pPr>
        <w:spacing w:after="20" w:line="240" w:lineRule="auto"/>
        <w:jc w:val="both"/>
        <w:rPr>
          <w:rFonts w:ascii="Times New Roman" w:hAnsi="Times New Roman" w:cs="Times New Roman"/>
          <w:sz w:val="24"/>
          <w:szCs w:val="24"/>
          <w:lang w:val="ru-RU"/>
        </w:rPr>
      </w:pPr>
      <w:r w:rsidRPr="00FA2CEC">
        <w:rPr>
          <w:rFonts w:ascii="Times New Roman" w:eastAsia="Times New Roman" w:hAnsi="Times New Roman" w:cs="Times New Roman"/>
          <w:sz w:val="24"/>
          <w:szCs w:val="24"/>
          <w:lang w:val="ru-RU"/>
        </w:rPr>
        <w:t>2.2. Товариство не допускає до участі в азартних іграх осіб, які не досягли 21-річного віку, осіб, включених до Реєстру осіб, яким обмежено доступ до гральних закладів та/або участь в азартних іграх, а також інших осіб, які відповідно до закону не можуть бути гравцями.</w:t>
      </w:r>
    </w:p>
    <w:p w:rsidR="00B27C7D" w:rsidRPr="00FA2CEC" w:rsidRDefault="005D7BE8">
      <w:pPr>
        <w:spacing w:after="20" w:line="240" w:lineRule="auto"/>
        <w:jc w:val="both"/>
        <w:rPr>
          <w:rFonts w:ascii="Times New Roman" w:hAnsi="Times New Roman" w:cs="Times New Roman"/>
          <w:sz w:val="24"/>
          <w:szCs w:val="24"/>
          <w:lang w:val="ru-RU"/>
        </w:rPr>
      </w:pPr>
      <w:r w:rsidRPr="00FA2CEC">
        <w:rPr>
          <w:rFonts w:ascii="Times New Roman" w:eastAsia="Times New Roman" w:hAnsi="Times New Roman" w:cs="Times New Roman"/>
          <w:sz w:val="24"/>
          <w:szCs w:val="24"/>
          <w:lang w:val="ru-RU"/>
        </w:rPr>
        <w:t>2.3. Для виконання пункту 2.2 Товариство здійснює перевірку осіб, які реєструються на Вебсайті, а також перевірки наявних гравців у випадках та з періодичністю, передбачених законодавством і внутрішніми процедурами.</w:t>
      </w:r>
    </w:p>
    <w:p w:rsidR="00B27C7D" w:rsidRPr="00FA2CEC" w:rsidRDefault="005D7BE8">
      <w:pPr>
        <w:spacing w:after="20" w:line="240" w:lineRule="auto"/>
        <w:jc w:val="both"/>
        <w:rPr>
          <w:rFonts w:ascii="Times New Roman" w:hAnsi="Times New Roman" w:cs="Times New Roman"/>
          <w:sz w:val="24"/>
          <w:szCs w:val="24"/>
          <w:lang w:val="ru-RU"/>
        </w:rPr>
      </w:pPr>
      <w:r w:rsidRPr="00FA2CEC">
        <w:rPr>
          <w:rFonts w:ascii="Times New Roman" w:eastAsia="Times New Roman" w:hAnsi="Times New Roman" w:cs="Times New Roman"/>
          <w:sz w:val="24"/>
          <w:szCs w:val="24"/>
          <w:lang w:val="ru-RU"/>
        </w:rPr>
        <w:lastRenderedPageBreak/>
        <w:t>2.4. Товариство утримується від надання бонусних виплат, подарунків, товарів, послуг або інших заохочень, надання яких прямо чи опосередковано обумовлено фактом програшу гравця в азартній грі.</w:t>
      </w:r>
    </w:p>
    <w:p w:rsidR="00B27C7D" w:rsidRPr="00FA2CEC" w:rsidRDefault="005D7BE8">
      <w:pPr>
        <w:spacing w:after="20" w:line="240" w:lineRule="auto"/>
        <w:jc w:val="both"/>
        <w:rPr>
          <w:rFonts w:ascii="Times New Roman" w:hAnsi="Times New Roman" w:cs="Times New Roman"/>
          <w:sz w:val="24"/>
          <w:szCs w:val="24"/>
          <w:lang w:val="ru-RU"/>
        </w:rPr>
      </w:pPr>
      <w:r w:rsidRPr="00FA2CEC">
        <w:rPr>
          <w:rFonts w:ascii="Times New Roman" w:eastAsia="Times New Roman" w:hAnsi="Times New Roman" w:cs="Times New Roman"/>
          <w:sz w:val="24"/>
          <w:szCs w:val="24"/>
          <w:lang w:val="ru-RU"/>
        </w:rPr>
        <w:t>2.5. Товариство утримується від дій, які спонукають або можуть спонукати гравця продовжувати гру після прийняття ним рішення про припинення гри, перерву у грі, вихід з особистого кабінету або його закриття, та не пропонує і не надає безкоштовно або як винагороду за участь в азартній грі алкогольні напої, пиво, слабоалкогольні напої, столові вина чи тютюнові вироби.</w:t>
      </w:r>
    </w:p>
    <w:p w:rsidR="00B27C7D" w:rsidRPr="00FA2CEC" w:rsidRDefault="005D7BE8">
      <w:pPr>
        <w:spacing w:after="20" w:line="240" w:lineRule="auto"/>
        <w:jc w:val="both"/>
        <w:rPr>
          <w:rFonts w:ascii="Times New Roman" w:hAnsi="Times New Roman" w:cs="Times New Roman"/>
          <w:sz w:val="24"/>
          <w:szCs w:val="24"/>
          <w:lang w:val="ru-RU"/>
        </w:rPr>
      </w:pPr>
      <w:r w:rsidRPr="00FA2CEC">
        <w:rPr>
          <w:rFonts w:ascii="Times New Roman" w:eastAsia="Times New Roman" w:hAnsi="Times New Roman" w:cs="Times New Roman"/>
          <w:sz w:val="24"/>
          <w:szCs w:val="24"/>
          <w:lang w:val="ru-RU"/>
        </w:rPr>
        <w:t>2.6. Товариство не розглядає участь в азартних іграх як джерело доходу гравця та не формує у гравців уявлення про азартну гру як альтернативу трудовій діяльності або спосіб вирішення фінансових проблем.</w:t>
      </w:r>
    </w:p>
    <w:p w:rsidR="00B27C7D" w:rsidRPr="00FA2CEC" w:rsidRDefault="005D7BE8">
      <w:pPr>
        <w:spacing w:after="20" w:line="240" w:lineRule="auto"/>
        <w:jc w:val="both"/>
        <w:rPr>
          <w:rFonts w:ascii="Times New Roman" w:hAnsi="Times New Roman" w:cs="Times New Roman"/>
          <w:sz w:val="24"/>
          <w:szCs w:val="24"/>
          <w:lang w:val="ru-RU"/>
        </w:rPr>
      </w:pPr>
      <w:r w:rsidRPr="00FA2CEC">
        <w:rPr>
          <w:rFonts w:ascii="Times New Roman" w:eastAsia="Times New Roman" w:hAnsi="Times New Roman" w:cs="Times New Roman"/>
          <w:sz w:val="24"/>
          <w:szCs w:val="24"/>
          <w:lang w:val="ru-RU"/>
        </w:rPr>
        <w:t>2.7. На Вебсайті розміщуються інформаційні матеріали щодо відповідальної гри та ігрової залежності, зокрема про вікові обмеження, шанси на виграш, ризик програшу, ознаки патологічної та проблемної ігрової залежності, способи самообмеження, а також актуальна інформація про діяльність організацій, закладів охорони здоров’я та/або медичних працівників, які лікують ігрову залежність, і надавачів соціальної послуги соціально-психологічної реабілітації осіб із ігровою залежністю, із контактними даними та номером телефону служби підтримки.</w:t>
      </w:r>
    </w:p>
    <w:p w:rsidR="00B27C7D" w:rsidRPr="00FA2CEC" w:rsidRDefault="005D7BE8">
      <w:pPr>
        <w:spacing w:after="20" w:line="240" w:lineRule="auto"/>
        <w:jc w:val="both"/>
        <w:rPr>
          <w:rFonts w:ascii="Times New Roman" w:hAnsi="Times New Roman" w:cs="Times New Roman"/>
          <w:sz w:val="24"/>
          <w:szCs w:val="24"/>
          <w:lang w:val="ru-RU"/>
        </w:rPr>
      </w:pPr>
      <w:r w:rsidRPr="00FA2CEC">
        <w:rPr>
          <w:rFonts w:ascii="Times New Roman" w:eastAsia="Times New Roman" w:hAnsi="Times New Roman" w:cs="Times New Roman"/>
          <w:sz w:val="24"/>
          <w:szCs w:val="24"/>
          <w:lang w:val="ru-RU"/>
        </w:rPr>
        <w:t>2.8. Товариство інформує гравця про необхідність дотримання лімітів витрат на азартну гру та часу участі в азартній грі, не допускає гравця до участі в азартних іграх без встановлення ним таких лімітів до початку гри та здійснює контроль за їх дотриманням. Ліміти встановлюються на добу, тиждень і місяць одночасно та не можуть перевищувати граничних значень, установлених законодавством.</w:t>
      </w:r>
    </w:p>
    <w:p w:rsidR="00B27C7D" w:rsidRPr="00FA2CEC" w:rsidRDefault="005D7BE8">
      <w:pPr>
        <w:spacing w:after="20" w:line="240" w:lineRule="auto"/>
        <w:jc w:val="both"/>
        <w:rPr>
          <w:rFonts w:ascii="Times New Roman" w:hAnsi="Times New Roman" w:cs="Times New Roman"/>
          <w:sz w:val="24"/>
          <w:szCs w:val="24"/>
          <w:lang w:val="ru-RU"/>
        </w:rPr>
      </w:pPr>
      <w:r w:rsidRPr="00FA2CEC">
        <w:rPr>
          <w:rFonts w:ascii="Times New Roman" w:eastAsia="Times New Roman" w:hAnsi="Times New Roman" w:cs="Times New Roman"/>
          <w:sz w:val="24"/>
          <w:szCs w:val="24"/>
          <w:lang w:val="ru-RU"/>
        </w:rPr>
        <w:t>2.9. Товариство забезпечує можливість гравця використовувати передбачені законодавством і функціональністю Вебсайту інструменти самоконтролю та самообмеження та застосовує інші заходи, спрямовані на запобігання надмірній участі в азартних іграх.</w:t>
      </w:r>
    </w:p>
    <w:p w:rsidR="00B27C7D" w:rsidRPr="00FA2CEC" w:rsidRDefault="005D7BE8">
      <w:pPr>
        <w:spacing w:after="20" w:line="240" w:lineRule="auto"/>
        <w:jc w:val="both"/>
        <w:rPr>
          <w:rFonts w:ascii="Times New Roman" w:hAnsi="Times New Roman" w:cs="Times New Roman"/>
          <w:sz w:val="24"/>
          <w:szCs w:val="24"/>
          <w:lang w:val="ru-RU"/>
        </w:rPr>
      </w:pPr>
      <w:r w:rsidRPr="00FA2CEC">
        <w:rPr>
          <w:rFonts w:ascii="Times New Roman" w:eastAsia="Times New Roman" w:hAnsi="Times New Roman" w:cs="Times New Roman"/>
          <w:sz w:val="24"/>
          <w:szCs w:val="24"/>
          <w:lang w:val="ru-RU"/>
        </w:rPr>
        <w:t>2.10. Товариство унеможливлює використання одним гравцем більше одного особистого кабінету та застосовує передбачені законом обмеження щодо створення і використання особистого кабінету особами, які не досягли 21-річного віку або включені до Реєстру.</w:t>
      </w:r>
    </w:p>
    <w:p w:rsidR="00B27C7D" w:rsidRPr="00FA2CEC" w:rsidRDefault="005D7BE8">
      <w:pPr>
        <w:spacing w:after="20" w:line="240" w:lineRule="auto"/>
        <w:jc w:val="both"/>
        <w:rPr>
          <w:rFonts w:ascii="Times New Roman" w:hAnsi="Times New Roman" w:cs="Times New Roman"/>
          <w:sz w:val="24"/>
          <w:szCs w:val="24"/>
          <w:lang w:val="ru-RU"/>
        </w:rPr>
      </w:pPr>
      <w:r w:rsidRPr="00FA2CEC">
        <w:rPr>
          <w:rFonts w:ascii="Times New Roman" w:eastAsia="Times New Roman" w:hAnsi="Times New Roman" w:cs="Times New Roman"/>
          <w:sz w:val="24"/>
          <w:szCs w:val="24"/>
          <w:lang w:val="ru-RU"/>
        </w:rPr>
        <w:t>2.11. Товариство розміщує на Вебсайті у доступному для гравців місці відомості про повне найменування та місцезнаходження Організатора, його ідентифікаційний код, рішення про видачу відповідних ліцензій, Правила організатора та Правила проведення азартних ігор казино в мережі Інтернет і азартних ігор у покер у мережі Інтернет, інформацію про загальний відсоток виграшу (теоретичне повернення гравцю) у випадках, коли така інформація застосовується до відповідної гри, повідомлення щодо можливого програшу та втрати коштів, а також порядок і строки виплати виграшів (призів) у випадках та обсязі, передбачених законодавством.</w:t>
      </w:r>
    </w:p>
    <w:p w:rsidR="00B27C7D" w:rsidRPr="00FA2CEC" w:rsidRDefault="005D7BE8">
      <w:pPr>
        <w:spacing w:after="20" w:line="240" w:lineRule="auto"/>
        <w:jc w:val="both"/>
        <w:rPr>
          <w:rFonts w:ascii="Times New Roman" w:hAnsi="Times New Roman" w:cs="Times New Roman"/>
          <w:sz w:val="24"/>
          <w:szCs w:val="24"/>
          <w:lang w:val="ru-RU"/>
        </w:rPr>
      </w:pPr>
      <w:r w:rsidRPr="00FA2CEC">
        <w:rPr>
          <w:rFonts w:ascii="Times New Roman" w:eastAsia="Times New Roman" w:hAnsi="Times New Roman" w:cs="Times New Roman"/>
          <w:sz w:val="24"/>
          <w:szCs w:val="24"/>
          <w:lang w:val="ru-RU"/>
        </w:rPr>
        <w:t>2.12. Інформація, яка відповідно до законодавства підлягає розміщенню державною та англійською мовами, публікується на Вебсайті у відповідних мовних версіях.</w:t>
      </w:r>
    </w:p>
    <w:p w:rsidR="00B27C7D" w:rsidRPr="00FA2CEC" w:rsidRDefault="005D7BE8">
      <w:pPr>
        <w:spacing w:after="20" w:line="240" w:lineRule="auto"/>
        <w:jc w:val="both"/>
        <w:rPr>
          <w:rFonts w:ascii="Times New Roman" w:hAnsi="Times New Roman" w:cs="Times New Roman"/>
          <w:sz w:val="24"/>
          <w:szCs w:val="24"/>
          <w:lang w:val="ru-RU"/>
        </w:rPr>
      </w:pPr>
      <w:r w:rsidRPr="00FA2CEC">
        <w:rPr>
          <w:rFonts w:ascii="Times New Roman" w:eastAsia="Times New Roman" w:hAnsi="Times New Roman" w:cs="Times New Roman"/>
          <w:sz w:val="24"/>
          <w:szCs w:val="24"/>
          <w:lang w:val="ru-RU"/>
        </w:rPr>
        <w:t>2.13. Товариство поширює соціально важливу інформацію щодо запобігання та мінімізації негативних наслідків участі в азартних іграх, проявів ігрової залежності та можливості отримання необхідних соціальних послуг, у тому числі шляхом розміщення на Вебсайті актуальних контактних даних відповідних надавачів соціальних послуг.</w:t>
      </w:r>
    </w:p>
    <w:p w:rsidR="00B27C7D" w:rsidRPr="00FA2CEC" w:rsidRDefault="005D7BE8">
      <w:pPr>
        <w:spacing w:after="20" w:line="240" w:lineRule="auto"/>
        <w:jc w:val="both"/>
        <w:rPr>
          <w:rFonts w:ascii="Times New Roman" w:hAnsi="Times New Roman" w:cs="Times New Roman"/>
          <w:sz w:val="24"/>
          <w:szCs w:val="24"/>
          <w:lang w:val="ru-RU"/>
        </w:rPr>
      </w:pPr>
      <w:r w:rsidRPr="00FA2CEC">
        <w:rPr>
          <w:rFonts w:ascii="Times New Roman" w:eastAsia="Times New Roman" w:hAnsi="Times New Roman" w:cs="Times New Roman"/>
          <w:sz w:val="24"/>
          <w:szCs w:val="24"/>
          <w:lang w:val="ru-RU"/>
        </w:rPr>
        <w:t>2.14. У рекламних та інформаційних матеріалах Товариство дотримується передбачених законодавством вимог щодо попередження про ризик виникнення ігрової залежності та необхідність дотримання правил (принципів) відповідальної гри.</w:t>
      </w:r>
    </w:p>
    <w:p w:rsidR="00B27C7D" w:rsidRPr="00FA2CEC" w:rsidRDefault="005D7BE8">
      <w:pPr>
        <w:keepNext/>
        <w:spacing w:before="140" w:after="60" w:line="240" w:lineRule="auto"/>
        <w:rPr>
          <w:rFonts w:ascii="Times New Roman" w:hAnsi="Times New Roman" w:cs="Times New Roman"/>
          <w:sz w:val="24"/>
          <w:szCs w:val="24"/>
          <w:lang w:val="ru-RU"/>
        </w:rPr>
      </w:pPr>
      <w:r w:rsidRPr="00FA2CEC">
        <w:rPr>
          <w:rFonts w:ascii="Times New Roman" w:eastAsia="Times New Roman" w:hAnsi="Times New Roman" w:cs="Times New Roman"/>
          <w:b/>
          <w:sz w:val="24"/>
          <w:szCs w:val="24"/>
          <w:lang w:val="ru-RU"/>
        </w:rPr>
        <w:t>3. ХТО МОЖЕ БУТИ ГРАВЦЕМ</w:t>
      </w:r>
    </w:p>
    <w:p w:rsidR="00B27C7D" w:rsidRPr="00FA2CEC" w:rsidRDefault="005D7BE8">
      <w:pPr>
        <w:spacing w:after="20" w:line="240" w:lineRule="auto"/>
        <w:jc w:val="both"/>
        <w:rPr>
          <w:rFonts w:ascii="Times New Roman" w:hAnsi="Times New Roman" w:cs="Times New Roman"/>
          <w:sz w:val="24"/>
          <w:szCs w:val="24"/>
          <w:lang w:val="ru-RU"/>
        </w:rPr>
      </w:pPr>
      <w:r w:rsidRPr="00FA2CEC">
        <w:rPr>
          <w:rFonts w:ascii="Times New Roman" w:eastAsia="Times New Roman" w:hAnsi="Times New Roman" w:cs="Times New Roman"/>
          <w:sz w:val="24"/>
          <w:szCs w:val="24"/>
          <w:lang w:val="ru-RU"/>
        </w:rPr>
        <w:t>3.1. До участі в азартних іграх на Вебсайті може бути допущена дієздатна фізична особа, яка досягла 21-річного віку, пройшла необхідну ідентифікацію/верифікацію та не має встановлених законом обмежень щодо участі в азартних іграх.</w:t>
      </w:r>
    </w:p>
    <w:p w:rsidR="00B27C7D" w:rsidRPr="00FA2CEC" w:rsidRDefault="005D7BE8">
      <w:pPr>
        <w:spacing w:after="20" w:line="240" w:lineRule="auto"/>
        <w:jc w:val="both"/>
        <w:rPr>
          <w:rFonts w:ascii="Times New Roman" w:hAnsi="Times New Roman" w:cs="Times New Roman"/>
          <w:sz w:val="24"/>
          <w:szCs w:val="24"/>
          <w:lang w:val="ru-RU"/>
        </w:rPr>
      </w:pPr>
      <w:r w:rsidRPr="00FA2CEC">
        <w:rPr>
          <w:rFonts w:ascii="Times New Roman" w:eastAsia="Times New Roman" w:hAnsi="Times New Roman" w:cs="Times New Roman"/>
          <w:sz w:val="24"/>
          <w:szCs w:val="24"/>
          <w:lang w:val="ru-RU"/>
        </w:rPr>
        <w:lastRenderedPageBreak/>
        <w:t>3.2. Товариство закликає дорослих осіб не надавати неповнолітнім доступ до своїх облікових записів, пристроїв або засобів автентифікації та вживати розумних заходів для недопущення використання Вебсайту особами, які не досягли 21-річного віку.</w:t>
      </w:r>
    </w:p>
    <w:p w:rsidR="00B27C7D" w:rsidRPr="00FA2CEC" w:rsidRDefault="005D7BE8">
      <w:pPr>
        <w:spacing w:after="20" w:line="240" w:lineRule="auto"/>
        <w:jc w:val="both"/>
        <w:rPr>
          <w:rFonts w:ascii="Times New Roman" w:hAnsi="Times New Roman" w:cs="Times New Roman"/>
          <w:sz w:val="24"/>
          <w:szCs w:val="24"/>
          <w:lang w:val="ru-RU"/>
        </w:rPr>
      </w:pPr>
      <w:r w:rsidRPr="00FA2CEC">
        <w:rPr>
          <w:rFonts w:ascii="Times New Roman" w:eastAsia="Times New Roman" w:hAnsi="Times New Roman" w:cs="Times New Roman"/>
          <w:sz w:val="24"/>
          <w:szCs w:val="24"/>
          <w:lang w:val="ru-RU"/>
        </w:rPr>
        <w:t>3.3. Логін, пароль та інші дані доступу до особистого кабінету повинні зберігатися таким чином, щоб унеможливити їх використання дітьми або іншими неуповноваженими особами.</w:t>
      </w:r>
    </w:p>
    <w:p w:rsidR="00B27C7D" w:rsidRPr="00FA2CEC" w:rsidRDefault="005D7BE8">
      <w:pPr>
        <w:keepNext/>
        <w:spacing w:before="140" w:after="60" w:line="240" w:lineRule="auto"/>
        <w:rPr>
          <w:rFonts w:ascii="Times New Roman" w:hAnsi="Times New Roman" w:cs="Times New Roman"/>
          <w:sz w:val="24"/>
          <w:szCs w:val="24"/>
          <w:lang w:val="ru-RU"/>
        </w:rPr>
      </w:pPr>
      <w:r w:rsidRPr="00FA2CEC">
        <w:rPr>
          <w:rFonts w:ascii="Times New Roman" w:eastAsia="Times New Roman" w:hAnsi="Times New Roman" w:cs="Times New Roman"/>
          <w:b/>
          <w:sz w:val="24"/>
          <w:szCs w:val="24"/>
          <w:lang w:val="ru-RU"/>
        </w:rPr>
        <w:t>4. САМОКОНТРОЛЬ І ОСОБИСТІ ОБМЕЖЕННЯ</w:t>
      </w:r>
    </w:p>
    <w:p w:rsidR="00B27C7D" w:rsidRPr="00FA2CEC" w:rsidRDefault="005D7BE8">
      <w:pPr>
        <w:spacing w:after="20" w:line="240" w:lineRule="auto"/>
        <w:jc w:val="both"/>
        <w:rPr>
          <w:rFonts w:ascii="Times New Roman" w:hAnsi="Times New Roman" w:cs="Times New Roman"/>
          <w:sz w:val="24"/>
          <w:szCs w:val="24"/>
          <w:lang w:val="ru-RU"/>
        </w:rPr>
      </w:pPr>
      <w:r w:rsidRPr="00FA2CEC">
        <w:rPr>
          <w:rFonts w:ascii="Times New Roman" w:eastAsia="Times New Roman" w:hAnsi="Times New Roman" w:cs="Times New Roman"/>
          <w:sz w:val="24"/>
          <w:szCs w:val="24"/>
          <w:lang w:val="ru-RU"/>
        </w:rPr>
        <w:t>4.1. До початку участі в азартній грі гравець самостійно встановлює ліміти витрат на азартну гру та часу участі в азартній грі на добу, тиждень і місяць одночасно. Товариство не допускає гравця до участі в азартних іграх без встановлення таких лімітів та здійснює контроль за їх дотриманням.</w:t>
      </w:r>
    </w:p>
    <w:p w:rsidR="00B27C7D" w:rsidRPr="00FA2CEC" w:rsidRDefault="005D7BE8">
      <w:pPr>
        <w:spacing w:after="20" w:line="240" w:lineRule="auto"/>
        <w:jc w:val="both"/>
        <w:rPr>
          <w:rFonts w:ascii="Times New Roman" w:hAnsi="Times New Roman" w:cs="Times New Roman"/>
          <w:sz w:val="24"/>
          <w:szCs w:val="24"/>
          <w:lang w:val="ru-RU"/>
        </w:rPr>
      </w:pPr>
      <w:r w:rsidRPr="00FA2CEC">
        <w:rPr>
          <w:rFonts w:ascii="Times New Roman" w:eastAsia="Times New Roman" w:hAnsi="Times New Roman" w:cs="Times New Roman"/>
          <w:sz w:val="24"/>
          <w:szCs w:val="24"/>
          <w:lang w:val="ru-RU"/>
        </w:rPr>
        <w:t>4.2. Для азартних ігор казино в мережі Інтернет та азартних ігор у покер у мережі Інтернет ліміти витрат гравця на азартну гру не можуть перевищувати: протягом доби – 15 відсотків середньомісячного доходу гравця, визначеного гравцем самостійно; протягом тижня – 25 відсотків такого середньомісячного доходу; протягом місяця – 40 відсотків такого середньомісячного доходу. Ліміти часу участі гравця в азартних іграх не можуть перевищувати: протягом доби – 6 годин; протягом тижня – 21 годину; протягом місяця – 100 годин.</w:t>
      </w:r>
    </w:p>
    <w:p w:rsidR="00B27C7D" w:rsidRPr="00FA2CEC" w:rsidRDefault="005D7BE8">
      <w:pPr>
        <w:spacing w:after="20" w:line="240" w:lineRule="auto"/>
        <w:jc w:val="both"/>
        <w:rPr>
          <w:rFonts w:ascii="Times New Roman" w:hAnsi="Times New Roman" w:cs="Times New Roman"/>
          <w:sz w:val="24"/>
          <w:szCs w:val="24"/>
          <w:lang w:val="ru-RU"/>
        </w:rPr>
      </w:pPr>
      <w:r w:rsidRPr="00FA2CEC">
        <w:rPr>
          <w:rFonts w:ascii="Times New Roman" w:eastAsia="Times New Roman" w:hAnsi="Times New Roman" w:cs="Times New Roman"/>
          <w:sz w:val="24"/>
          <w:szCs w:val="24"/>
          <w:lang w:val="ru-RU"/>
        </w:rPr>
        <w:t>4.3. Зміна встановлених лімітів витрат гравця на азартну гру може здійснюватися не частіше ніж один раз на місяць. Максимальний час безперервної участі гравця в азартній грі не може перевищувати 2 години, після чого застосовується обов’язкова перерва тривалістю не менше 15 хвилин. Відлік часу участі гравця в азартній грі розпочинається з моменту здійснення гравцем ставки та розраховується з точністю до секунди.</w:t>
      </w:r>
    </w:p>
    <w:p w:rsidR="00B27C7D" w:rsidRPr="00FA2CEC" w:rsidRDefault="005D7BE8">
      <w:pPr>
        <w:spacing w:after="20" w:line="240" w:lineRule="auto"/>
        <w:jc w:val="both"/>
        <w:rPr>
          <w:rFonts w:ascii="Times New Roman" w:hAnsi="Times New Roman" w:cs="Times New Roman"/>
          <w:sz w:val="24"/>
          <w:szCs w:val="24"/>
          <w:lang w:val="ru-RU"/>
        </w:rPr>
      </w:pPr>
      <w:r w:rsidRPr="00FA2CEC">
        <w:rPr>
          <w:rFonts w:ascii="Times New Roman" w:eastAsia="Times New Roman" w:hAnsi="Times New Roman" w:cs="Times New Roman"/>
          <w:sz w:val="24"/>
          <w:szCs w:val="24"/>
          <w:lang w:val="ru-RU"/>
        </w:rPr>
        <w:t>4.4. Товариство забезпечує розміщення на кожній сторінці Вебсайту інформації про реальний час, зокрема шляхом розміщення годинника, що відображає актуальний час.</w:t>
      </w:r>
    </w:p>
    <w:p w:rsidR="00B27C7D" w:rsidRPr="00FA2CEC" w:rsidRDefault="005D7BE8">
      <w:pPr>
        <w:spacing w:after="20" w:line="240" w:lineRule="auto"/>
        <w:jc w:val="both"/>
        <w:rPr>
          <w:rFonts w:ascii="Times New Roman" w:hAnsi="Times New Roman" w:cs="Times New Roman"/>
          <w:sz w:val="24"/>
          <w:szCs w:val="24"/>
          <w:lang w:val="ru-RU"/>
        </w:rPr>
      </w:pPr>
      <w:r w:rsidRPr="00FA2CEC">
        <w:rPr>
          <w:rFonts w:ascii="Times New Roman" w:eastAsia="Times New Roman" w:hAnsi="Times New Roman" w:cs="Times New Roman"/>
          <w:sz w:val="24"/>
          <w:szCs w:val="24"/>
          <w:lang w:val="ru-RU"/>
        </w:rPr>
        <w:t>4.5. В особистому кабінеті гравця через регулярні проміжки часу відображаються інформаційні повідомлення щодо тривалості участі гравця в азартній грі та витрат на азартну гру з підтвердженням гравцем ознайомлення з такими повідомленнями та можливістю прийняти рішення зупинити або продовжити гру.</w:t>
      </w:r>
    </w:p>
    <w:p w:rsidR="00B27C7D" w:rsidRPr="00FA2CEC" w:rsidRDefault="005D7BE8">
      <w:pPr>
        <w:spacing w:after="20" w:line="240" w:lineRule="auto"/>
        <w:jc w:val="both"/>
        <w:rPr>
          <w:rFonts w:ascii="Times New Roman" w:hAnsi="Times New Roman" w:cs="Times New Roman"/>
          <w:sz w:val="24"/>
          <w:szCs w:val="24"/>
          <w:lang w:val="ru-RU"/>
        </w:rPr>
      </w:pPr>
      <w:r w:rsidRPr="00FA2CEC">
        <w:rPr>
          <w:rFonts w:ascii="Times New Roman" w:eastAsia="Times New Roman" w:hAnsi="Times New Roman" w:cs="Times New Roman"/>
          <w:sz w:val="24"/>
          <w:szCs w:val="24"/>
          <w:lang w:val="ru-RU"/>
        </w:rPr>
        <w:t>4.6. Товариство надає гравцеві в особистому кабінеті інформацію про його ігрову поведінку, зокрема про витрачений час на гру та витрати на гру за день, тиждень і місяць, та забезпечує зберігання такої інформації і доступ до неї протягом усього періоду користування особистим кабінетом.</w:t>
      </w:r>
    </w:p>
    <w:p w:rsidR="00B27C7D" w:rsidRPr="00FA2CEC" w:rsidRDefault="005D7BE8">
      <w:pPr>
        <w:spacing w:after="20" w:line="240" w:lineRule="auto"/>
        <w:jc w:val="both"/>
        <w:rPr>
          <w:rFonts w:ascii="Times New Roman" w:hAnsi="Times New Roman" w:cs="Times New Roman"/>
          <w:sz w:val="24"/>
          <w:szCs w:val="24"/>
          <w:lang w:val="ru-RU"/>
        </w:rPr>
      </w:pPr>
      <w:r w:rsidRPr="00FA2CEC">
        <w:rPr>
          <w:rFonts w:ascii="Times New Roman" w:eastAsia="Times New Roman" w:hAnsi="Times New Roman" w:cs="Times New Roman"/>
          <w:sz w:val="24"/>
          <w:szCs w:val="24"/>
          <w:lang w:val="ru-RU"/>
        </w:rPr>
        <w:t>4.7. Товариство здійснює відстеження ігрової поведінки гравців та у разі виявлення ознак вираженої ігрової залежності (лудоманії) припиняє участь такого гравця в азартній грі. Таке припинення не впливає на обов’язок виплатити виграш (приз), право на який виникло до моменту припинення участі.</w:t>
      </w:r>
    </w:p>
    <w:p w:rsidR="00B27C7D" w:rsidRPr="00FA2CEC" w:rsidRDefault="005D7BE8">
      <w:pPr>
        <w:spacing w:after="20" w:line="240" w:lineRule="auto"/>
        <w:jc w:val="both"/>
        <w:rPr>
          <w:rFonts w:ascii="Times New Roman" w:hAnsi="Times New Roman" w:cs="Times New Roman"/>
          <w:sz w:val="24"/>
          <w:szCs w:val="24"/>
          <w:lang w:val="ru-RU"/>
        </w:rPr>
      </w:pPr>
      <w:r w:rsidRPr="00FA2CEC">
        <w:rPr>
          <w:rFonts w:ascii="Times New Roman" w:eastAsia="Times New Roman" w:hAnsi="Times New Roman" w:cs="Times New Roman"/>
          <w:sz w:val="24"/>
          <w:szCs w:val="24"/>
          <w:lang w:val="ru-RU"/>
        </w:rPr>
        <w:t>4.8. Гравцеві рекомендується ознайомитися з правилами відповідної азартної гри і шансами на виграш та програш, не намагатися відігратися після програшу, не розглядати азартні ігри як спосіб заробітку, не грати на позичені кошти та не брати участь у грі в стані алкогольного, наркотичного або сильного емоційного сп’яніння. Витрати на азартні ігри повинні залишатися в межах прийнятних витрат на розваги.</w:t>
      </w:r>
    </w:p>
    <w:p w:rsidR="00B27C7D" w:rsidRPr="00FA2CEC" w:rsidRDefault="005D7BE8">
      <w:pPr>
        <w:keepNext/>
        <w:spacing w:before="140" w:after="60" w:line="240" w:lineRule="auto"/>
        <w:rPr>
          <w:rFonts w:ascii="Times New Roman" w:hAnsi="Times New Roman" w:cs="Times New Roman"/>
          <w:sz w:val="24"/>
          <w:szCs w:val="24"/>
          <w:lang w:val="ru-RU"/>
        </w:rPr>
      </w:pPr>
      <w:r w:rsidRPr="00FA2CEC">
        <w:rPr>
          <w:rFonts w:ascii="Times New Roman" w:eastAsia="Times New Roman" w:hAnsi="Times New Roman" w:cs="Times New Roman"/>
          <w:b/>
          <w:sz w:val="24"/>
          <w:szCs w:val="24"/>
          <w:lang w:val="ru-RU"/>
        </w:rPr>
        <w:t>5. ОЗНАКИ ІГРОВОЇ ЗАЛЕЖНОСТІ</w:t>
      </w:r>
    </w:p>
    <w:p w:rsidR="00B27C7D" w:rsidRPr="00FA2CEC" w:rsidRDefault="005D7BE8">
      <w:pPr>
        <w:spacing w:after="20" w:line="240" w:lineRule="auto"/>
        <w:jc w:val="both"/>
        <w:rPr>
          <w:rFonts w:ascii="Times New Roman" w:hAnsi="Times New Roman" w:cs="Times New Roman"/>
          <w:sz w:val="24"/>
          <w:szCs w:val="24"/>
          <w:lang w:val="ru-RU"/>
        </w:rPr>
      </w:pPr>
      <w:r w:rsidRPr="00FA2CEC">
        <w:rPr>
          <w:rFonts w:ascii="Times New Roman" w:eastAsia="Times New Roman" w:hAnsi="Times New Roman" w:cs="Times New Roman"/>
          <w:sz w:val="24"/>
          <w:szCs w:val="24"/>
          <w:lang w:val="ru-RU"/>
        </w:rPr>
        <w:t>5.1. До ознак, які можуть свідчити про формування проблемної або патологічної гральної поведінки, належать:</w:t>
      </w:r>
    </w:p>
    <w:p w:rsidR="00B27C7D" w:rsidRPr="00FA2CEC" w:rsidRDefault="005D7BE8">
      <w:pPr>
        <w:spacing w:after="0" w:line="240" w:lineRule="auto"/>
        <w:ind w:left="312" w:hanging="198"/>
        <w:jc w:val="both"/>
        <w:rPr>
          <w:rFonts w:ascii="Times New Roman" w:hAnsi="Times New Roman" w:cs="Times New Roman"/>
          <w:sz w:val="24"/>
          <w:szCs w:val="24"/>
          <w:lang w:val="ru-RU"/>
        </w:rPr>
      </w:pPr>
      <w:r w:rsidRPr="00FA2CEC">
        <w:rPr>
          <w:rFonts w:ascii="Times New Roman" w:eastAsia="Times New Roman" w:hAnsi="Times New Roman" w:cs="Times New Roman"/>
          <w:sz w:val="24"/>
          <w:szCs w:val="24"/>
          <w:lang w:val="ru-RU"/>
        </w:rPr>
        <w:t>– часті думки про азартні ігри та постійне бажання грати;</w:t>
      </w:r>
    </w:p>
    <w:p w:rsidR="00B27C7D" w:rsidRPr="00FA2CEC" w:rsidRDefault="005D7BE8">
      <w:pPr>
        <w:spacing w:after="0" w:line="240" w:lineRule="auto"/>
        <w:ind w:left="312" w:hanging="198"/>
        <w:jc w:val="both"/>
        <w:rPr>
          <w:rFonts w:ascii="Times New Roman" w:hAnsi="Times New Roman" w:cs="Times New Roman"/>
          <w:sz w:val="24"/>
          <w:szCs w:val="24"/>
          <w:lang w:val="ru-RU"/>
        </w:rPr>
      </w:pPr>
      <w:r w:rsidRPr="00FA2CEC">
        <w:rPr>
          <w:rFonts w:ascii="Times New Roman" w:eastAsia="Times New Roman" w:hAnsi="Times New Roman" w:cs="Times New Roman"/>
          <w:sz w:val="24"/>
          <w:szCs w:val="24"/>
          <w:lang w:val="ru-RU"/>
        </w:rPr>
        <w:t>– потреба підвищувати ставки для отримання попереднього рівня емоційного збудження;</w:t>
      </w:r>
    </w:p>
    <w:p w:rsidR="00B27C7D" w:rsidRPr="00FA2CEC" w:rsidRDefault="005D7BE8">
      <w:pPr>
        <w:spacing w:after="0" w:line="240" w:lineRule="auto"/>
        <w:ind w:left="312" w:hanging="198"/>
        <w:jc w:val="both"/>
        <w:rPr>
          <w:rFonts w:ascii="Times New Roman" w:hAnsi="Times New Roman" w:cs="Times New Roman"/>
          <w:sz w:val="24"/>
          <w:szCs w:val="24"/>
          <w:lang w:val="ru-RU"/>
        </w:rPr>
      </w:pPr>
      <w:r w:rsidRPr="00FA2CEC">
        <w:rPr>
          <w:rFonts w:ascii="Times New Roman" w:eastAsia="Times New Roman" w:hAnsi="Times New Roman" w:cs="Times New Roman"/>
          <w:sz w:val="24"/>
          <w:szCs w:val="24"/>
          <w:lang w:val="ru-RU"/>
        </w:rPr>
        <w:t>– втрата контролю над тривалістю або припиненням гри;</w:t>
      </w:r>
    </w:p>
    <w:p w:rsidR="00B27C7D" w:rsidRPr="00FA2CEC" w:rsidRDefault="005D7BE8">
      <w:pPr>
        <w:spacing w:after="0" w:line="240" w:lineRule="auto"/>
        <w:ind w:left="312" w:hanging="198"/>
        <w:jc w:val="both"/>
        <w:rPr>
          <w:rFonts w:ascii="Times New Roman" w:hAnsi="Times New Roman" w:cs="Times New Roman"/>
          <w:sz w:val="24"/>
          <w:szCs w:val="24"/>
          <w:lang w:val="ru-RU"/>
        </w:rPr>
      </w:pPr>
      <w:r w:rsidRPr="00FA2CEC">
        <w:rPr>
          <w:rFonts w:ascii="Times New Roman" w:eastAsia="Times New Roman" w:hAnsi="Times New Roman" w:cs="Times New Roman"/>
          <w:sz w:val="24"/>
          <w:szCs w:val="24"/>
          <w:lang w:val="ru-RU"/>
        </w:rPr>
        <w:t>– роздратування, тривога або інші негативні емоції при спробах скоротити або припинити гру;</w:t>
      </w:r>
    </w:p>
    <w:p w:rsidR="00B27C7D" w:rsidRPr="00FA2CEC" w:rsidRDefault="005D7BE8">
      <w:pPr>
        <w:spacing w:after="0" w:line="240" w:lineRule="auto"/>
        <w:ind w:left="312" w:hanging="198"/>
        <w:jc w:val="both"/>
        <w:rPr>
          <w:rFonts w:ascii="Times New Roman" w:hAnsi="Times New Roman" w:cs="Times New Roman"/>
          <w:sz w:val="24"/>
          <w:szCs w:val="24"/>
          <w:lang w:val="ru-RU"/>
        </w:rPr>
      </w:pPr>
      <w:r w:rsidRPr="00FA2CEC">
        <w:rPr>
          <w:rFonts w:ascii="Times New Roman" w:eastAsia="Times New Roman" w:hAnsi="Times New Roman" w:cs="Times New Roman"/>
          <w:sz w:val="24"/>
          <w:szCs w:val="24"/>
          <w:lang w:val="ru-RU"/>
        </w:rPr>
        <w:t>– постійне прагнення відігратися після програшу;</w:t>
      </w:r>
    </w:p>
    <w:p w:rsidR="00B27C7D" w:rsidRPr="00FA2CEC" w:rsidRDefault="005D7BE8">
      <w:pPr>
        <w:spacing w:after="0" w:line="240" w:lineRule="auto"/>
        <w:ind w:left="312" w:hanging="198"/>
        <w:jc w:val="both"/>
        <w:rPr>
          <w:rFonts w:ascii="Times New Roman" w:hAnsi="Times New Roman" w:cs="Times New Roman"/>
          <w:sz w:val="24"/>
          <w:szCs w:val="24"/>
          <w:lang w:val="ru-RU"/>
        </w:rPr>
      </w:pPr>
      <w:r w:rsidRPr="00FA2CEC">
        <w:rPr>
          <w:rFonts w:ascii="Times New Roman" w:eastAsia="Times New Roman" w:hAnsi="Times New Roman" w:cs="Times New Roman"/>
          <w:sz w:val="24"/>
          <w:szCs w:val="24"/>
          <w:lang w:val="ru-RU"/>
        </w:rPr>
        <w:lastRenderedPageBreak/>
        <w:t>– приховування від близьких реального часу або коштів, витрачених на гру;</w:t>
      </w:r>
    </w:p>
    <w:p w:rsidR="00B27C7D" w:rsidRPr="00FA2CEC" w:rsidRDefault="005D7BE8">
      <w:pPr>
        <w:spacing w:after="0" w:line="240" w:lineRule="auto"/>
        <w:ind w:left="312" w:hanging="198"/>
        <w:jc w:val="both"/>
        <w:rPr>
          <w:rFonts w:ascii="Times New Roman" w:hAnsi="Times New Roman" w:cs="Times New Roman"/>
          <w:sz w:val="24"/>
          <w:szCs w:val="24"/>
          <w:lang w:val="ru-RU"/>
        </w:rPr>
      </w:pPr>
      <w:r w:rsidRPr="00FA2CEC">
        <w:rPr>
          <w:rFonts w:ascii="Times New Roman" w:eastAsia="Times New Roman" w:hAnsi="Times New Roman" w:cs="Times New Roman"/>
          <w:sz w:val="24"/>
          <w:szCs w:val="24"/>
          <w:lang w:val="ru-RU"/>
        </w:rPr>
        <w:t>– переважання азартних ігор над іншими життєвими інтересами;</w:t>
      </w:r>
    </w:p>
    <w:p w:rsidR="00B27C7D" w:rsidRPr="00FA2CEC" w:rsidRDefault="005D7BE8">
      <w:pPr>
        <w:spacing w:after="0" w:line="240" w:lineRule="auto"/>
        <w:ind w:left="312" w:hanging="198"/>
        <w:jc w:val="both"/>
        <w:rPr>
          <w:rFonts w:ascii="Times New Roman" w:hAnsi="Times New Roman" w:cs="Times New Roman"/>
          <w:sz w:val="24"/>
          <w:szCs w:val="24"/>
          <w:lang w:val="ru-RU"/>
        </w:rPr>
      </w:pPr>
      <w:r w:rsidRPr="00FA2CEC">
        <w:rPr>
          <w:rFonts w:ascii="Times New Roman" w:eastAsia="Times New Roman" w:hAnsi="Times New Roman" w:cs="Times New Roman"/>
          <w:sz w:val="24"/>
          <w:szCs w:val="24"/>
          <w:lang w:val="ru-RU"/>
        </w:rPr>
        <w:t>– фінансові труднощі, пов’язані з участю в азартних іграх;</w:t>
      </w:r>
    </w:p>
    <w:p w:rsidR="00B27C7D" w:rsidRPr="00FA2CEC" w:rsidRDefault="005D7BE8">
      <w:pPr>
        <w:spacing w:after="0" w:line="240" w:lineRule="auto"/>
        <w:ind w:left="312" w:hanging="198"/>
        <w:jc w:val="both"/>
        <w:rPr>
          <w:rFonts w:ascii="Times New Roman" w:hAnsi="Times New Roman" w:cs="Times New Roman"/>
          <w:sz w:val="24"/>
          <w:szCs w:val="24"/>
          <w:lang w:val="ru-RU"/>
        </w:rPr>
      </w:pPr>
      <w:r w:rsidRPr="00FA2CEC">
        <w:rPr>
          <w:rFonts w:ascii="Times New Roman" w:eastAsia="Times New Roman" w:hAnsi="Times New Roman" w:cs="Times New Roman"/>
          <w:sz w:val="24"/>
          <w:szCs w:val="24"/>
          <w:lang w:val="ru-RU"/>
        </w:rPr>
        <w:t>– погіршення стосунків, навчання, роботи або психологічного стану у зв’язку з азартними іграми.</w:t>
      </w:r>
    </w:p>
    <w:p w:rsidR="00B27C7D" w:rsidRPr="00FA2CEC" w:rsidRDefault="005D7BE8">
      <w:pPr>
        <w:spacing w:after="20" w:line="240" w:lineRule="auto"/>
        <w:jc w:val="both"/>
        <w:rPr>
          <w:rFonts w:ascii="Times New Roman" w:hAnsi="Times New Roman" w:cs="Times New Roman"/>
          <w:sz w:val="24"/>
          <w:szCs w:val="24"/>
          <w:lang w:val="ru-RU"/>
        </w:rPr>
      </w:pPr>
      <w:r w:rsidRPr="00FA2CEC">
        <w:rPr>
          <w:rFonts w:ascii="Times New Roman" w:eastAsia="Times New Roman" w:hAnsi="Times New Roman" w:cs="Times New Roman"/>
          <w:sz w:val="24"/>
          <w:szCs w:val="24"/>
          <w:lang w:val="ru-RU"/>
        </w:rPr>
        <w:t>5.2. Виявлення однієї або кількох таких ознак є підставою серйозно оцінити власну гральну поведінку, скористатися інструментами самообмеження та, за потреби, звернутися за професійною допомогою.</w:t>
      </w:r>
    </w:p>
    <w:p w:rsidR="00B27C7D" w:rsidRPr="00FA2CEC" w:rsidRDefault="005D7BE8">
      <w:pPr>
        <w:keepNext/>
        <w:spacing w:before="140" w:after="60" w:line="240" w:lineRule="auto"/>
        <w:rPr>
          <w:rFonts w:ascii="Times New Roman" w:hAnsi="Times New Roman" w:cs="Times New Roman"/>
          <w:sz w:val="24"/>
          <w:szCs w:val="24"/>
          <w:lang w:val="ru-RU"/>
        </w:rPr>
      </w:pPr>
      <w:r w:rsidRPr="00FA2CEC">
        <w:rPr>
          <w:rFonts w:ascii="Times New Roman" w:eastAsia="Times New Roman" w:hAnsi="Times New Roman" w:cs="Times New Roman"/>
          <w:b/>
          <w:sz w:val="24"/>
          <w:szCs w:val="24"/>
          <w:lang w:val="ru-RU"/>
        </w:rPr>
        <w:t>6. ОБМЕЖЕННЯ УЧАСТІ ТА САМООБМЕЖЕННЯ</w:t>
      </w:r>
    </w:p>
    <w:p w:rsidR="00B27C7D" w:rsidRPr="00FA2CEC" w:rsidRDefault="005D7BE8">
      <w:pPr>
        <w:spacing w:after="20" w:line="240" w:lineRule="auto"/>
        <w:jc w:val="both"/>
        <w:rPr>
          <w:rFonts w:ascii="Times New Roman" w:hAnsi="Times New Roman" w:cs="Times New Roman"/>
          <w:sz w:val="24"/>
          <w:szCs w:val="24"/>
          <w:lang w:val="ru-RU"/>
        </w:rPr>
      </w:pPr>
      <w:r w:rsidRPr="00FA2CEC">
        <w:rPr>
          <w:rFonts w:ascii="Times New Roman" w:eastAsia="Times New Roman" w:hAnsi="Times New Roman" w:cs="Times New Roman"/>
          <w:sz w:val="24"/>
          <w:szCs w:val="24"/>
          <w:lang w:val="ru-RU"/>
        </w:rPr>
        <w:t>6.1. Гравець може ініціювати обмеження своєї участі в азартних іграх у порядку, встановленому статтею 16 Закону України «Про державне регулювання діяльності щодо організації та проведення азартних ігор».</w:t>
      </w:r>
    </w:p>
    <w:p w:rsidR="00B27C7D" w:rsidRPr="00FA2CEC" w:rsidRDefault="005D7BE8">
      <w:pPr>
        <w:spacing w:after="20" w:line="240" w:lineRule="auto"/>
        <w:jc w:val="both"/>
        <w:rPr>
          <w:rFonts w:ascii="Times New Roman" w:hAnsi="Times New Roman" w:cs="Times New Roman"/>
          <w:sz w:val="24"/>
          <w:szCs w:val="24"/>
          <w:lang w:val="ru-RU"/>
        </w:rPr>
      </w:pPr>
      <w:r w:rsidRPr="00FA2CEC">
        <w:rPr>
          <w:rFonts w:ascii="Times New Roman" w:eastAsia="Times New Roman" w:hAnsi="Times New Roman" w:cs="Times New Roman"/>
          <w:sz w:val="24"/>
          <w:szCs w:val="24"/>
          <w:lang w:val="ru-RU"/>
        </w:rPr>
        <w:t>6.2. Законодавча заява про самообмеження може бути подана на строк від шести місяців до трьох років організатору азартних ігор або Уповноваженому органу в передбаченій законом формі. Відкликання такої заяви протягом встановленого строку не допускається.</w:t>
      </w:r>
    </w:p>
    <w:p w:rsidR="00B27C7D" w:rsidRPr="00FA2CEC" w:rsidRDefault="005D7BE8">
      <w:pPr>
        <w:spacing w:after="20" w:line="240" w:lineRule="auto"/>
        <w:jc w:val="both"/>
        <w:rPr>
          <w:rFonts w:ascii="Times New Roman" w:hAnsi="Times New Roman" w:cs="Times New Roman"/>
          <w:sz w:val="24"/>
          <w:szCs w:val="24"/>
          <w:lang w:val="ru-RU"/>
        </w:rPr>
      </w:pPr>
      <w:r w:rsidRPr="00FA2CEC">
        <w:rPr>
          <w:rFonts w:ascii="Times New Roman" w:eastAsia="Times New Roman" w:hAnsi="Times New Roman" w:cs="Times New Roman"/>
          <w:sz w:val="24"/>
          <w:szCs w:val="24"/>
          <w:lang w:val="ru-RU"/>
        </w:rPr>
        <w:t>6.3. У разі отримання заяви про самообмеження Товариство діє в порядку та строки, встановлені законом, у тому числі в частині передачі/внесення необхідних відомостей до Реєстру та обмеження участі особи в азартних іграх.</w:t>
      </w:r>
    </w:p>
    <w:p w:rsidR="00B27C7D" w:rsidRPr="00FA2CEC" w:rsidRDefault="005D7BE8">
      <w:pPr>
        <w:spacing w:after="20" w:line="240" w:lineRule="auto"/>
        <w:jc w:val="both"/>
        <w:rPr>
          <w:rFonts w:ascii="Times New Roman" w:hAnsi="Times New Roman" w:cs="Times New Roman"/>
          <w:sz w:val="24"/>
          <w:szCs w:val="24"/>
          <w:lang w:val="ru-RU"/>
        </w:rPr>
      </w:pPr>
      <w:r w:rsidRPr="00FA2CEC">
        <w:rPr>
          <w:rFonts w:ascii="Times New Roman" w:eastAsia="Times New Roman" w:hAnsi="Times New Roman" w:cs="Times New Roman"/>
          <w:sz w:val="24"/>
          <w:szCs w:val="24"/>
          <w:lang w:val="ru-RU"/>
        </w:rPr>
        <w:t>6.4. Члени сім’ї першого ступеня споріднення або законні представники можуть ініціювати обмеження участі особи в азартних іграх за наявності визначених законом підстав і в установленому законом порядку.</w:t>
      </w:r>
    </w:p>
    <w:p w:rsidR="00B27C7D" w:rsidRPr="00FA2CEC" w:rsidRDefault="005D7BE8">
      <w:pPr>
        <w:spacing w:after="20" w:line="240" w:lineRule="auto"/>
        <w:jc w:val="both"/>
        <w:rPr>
          <w:rFonts w:ascii="Times New Roman" w:hAnsi="Times New Roman" w:cs="Times New Roman"/>
          <w:sz w:val="24"/>
          <w:szCs w:val="24"/>
          <w:lang w:val="ru-RU"/>
        </w:rPr>
      </w:pPr>
      <w:r w:rsidRPr="00FA2CEC">
        <w:rPr>
          <w:rFonts w:ascii="Times New Roman" w:eastAsia="Times New Roman" w:hAnsi="Times New Roman" w:cs="Times New Roman"/>
          <w:sz w:val="24"/>
          <w:szCs w:val="24"/>
          <w:lang w:val="ru-RU"/>
        </w:rPr>
        <w:t>6.5. За зверненням гравця Товариство унеможливлює йому доступ до особистого кабінету, не допускає поповнення ним ігрового балансу та участі в азартних іграх. Таке звернення є окремим інструментом припинення участі в азартних іграх і не замінює заяву про самообмеження, передбачену статтею 16 Закону.</w:t>
      </w:r>
    </w:p>
    <w:p w:rsidR="00B27C7D" w:rsidRPr="00FA2CEC" w:rsidRDefault="005D7BE8">
      <w:pPr>
        <w:spacing w:after="20" w:line="240" w:lineRule="auto"/>
        <w:jc w:val="both"/>
        <w:rPr>
          <w:rFonts w:ascii="Times New Roman" w:hAnsi="Times New Roman" w:cs="Times New Roman"/>
          <w:sz w:val="24"/>
          <w:szCs w:val="24"/>
          <w:lang w:val="ru-RU"/>
        </w:rPr>
      </w:pPr>
      <w:r w:rsidRPr="00FA2CEC">
        <w:rPr>
          <w:rFonts w:ascii="Times New Roman" w:eastAsia="Times New Roman" w:hAnsi="Times New Roman" w:cs="Times New Roman"/>
          <w:sz w:val="24"/>
          <w:szCs w:val="24"/>
          <w:lang w:val="ru-RU"/>
        </w:rPr>
        <w:t>6.6. У разі включення гравця до Реєстру Товариство виплачує належні виграші (призи) або повертає внесені кошти у порядку та строки, встановлені законом, після чого унеможливлює доступ такого гравця до особистого кабінету та не допускає поповнення ним ігрового балансу. Інші наслідки обмеження застосовуються відповідно до законодавства та Правил Організатора.</w:t>
      </w:r>
    </w:p>
    <w:p w:rsidR="00B27C7D" w:rsidRPr="00FA2CEC" w:rsidRDefault="005D7BE8">
      <w:pPr>
        <w:keepNext/>
        <w:spacing w:before="140" w:after="60" w:line="240" w:lineRule="auto"/>
        <w:rPr>
          <w:rFonts w:ascii="Times New Roman" w:hAnsi="Times New Roman" w:cs="Times New Roman"/>
          <w:sz w:val="24"/>
          <w:szCs w:val="24"/>
          <w:lang w:val="ru-RU"/>
        </w:rPr>
      </w:pPr>
      <w:r w:rsidRPr="00FA2CEC">
        <w:rPr>
          <w:rFonts w:ascii="Times New Roman" w:eastAsia="Times New Roman" w:hAnsi="Times New Roman" w:cs="Times New Roman"/>
          <w:b/>
          <w:sz w:val="24"/>
          <w:szCs w:val="24"/>
          <w:lang w:val="ru-RU"/>
        </w:rPr>
        <w:t>7. ІНФОРМАЦІЯ ТА ДОПОМОГА</w:t>
      </w:r>
    </w:p>
    <w:p w:rsidR="00B27C7D" w:rsidRPr="00FA2CEC" w:rsidRDefault="005D7BE8">
      <w:pPr>
        <w:spacing w:after="20" w:line="240" w:lineRule="auto"/>
        <w:jc w:val="both"/>
        <w:rPr>
          <w:rFonts w:ascii="Times New Roman" w:hAnsi="Times New Roman" w:cs="Times New Roman"/>
          <w:sz w:val="24"/>
          <w:szCs w:val="24"/>
          <w:lang w:val="ru-RU"/>
        </w:rPr>
      </w:pPr>
      <w:r w:rsidRPr="00FA2CEC">
        <w:rPr>
          <w:rFonts w:ascii="Times New Roman" w:eastAsia="Times New Roman" w:hAnsi="Times New Roman" w:cs="Times New Roman"/>
          <w:sz w:val="24"/>
          <w:szCs w:val="24"/>
          <w:lang w:val="ru-RU"/>
        </w:rPr>
        <w:t>7.1. На Вебсайті розміщуються інформаційні матеріали з питань ігрової залежності та відповідальної гри, зокрема інформація про вікові обмеження, шанси на виграш, принципи відповідальної гри, ознаки патологічної та проблемної ігрової залежності та місця, де можна отримати допомогу у разі ігрової залежності. Такі інформаційні матеріали розміщуються державною мовою та перекладаються англійською мовою у випадках, передбачених законодавством.</w:t>
      </w:r>
    </w:p>
    <w:p w:rsidR="00B27C7D" w:rsidRPr="00FA2CEC" w:rsidRDefault="005D7BE8">
      <w:pPr>
        <w:spacing w:after="20" w:line="240" w:lineRule="auto"/>
        <w:jc w:val="both"/>
        <w:rPr>
          <w:rFonts w:ascii="Times New Roman" w:hAnsi="Times New Roman" w:cs="Times New Roman"/>
          <w:sz w:val="24"/>
          <w:szCs w:val="24"/>
          <w:lang w:val="ru-RU"/>
        </w:rPr>
      </w:pPr>
      <w:r w:rsidRPr="00FA2CEC">
        <w:rPr>
          <w:rFonts w:ascii="Times New Roman" w:eastAsia="Times New Roman" w:hAnsi="Times New Roman" w:cs="Times New Roman"/>
          <w:sz w:val="24"/>
          <w:szCs w:val="24"/>
          <w:lang w:val="ru-RU"/>
        </w:rPr>
        <w:t>7.2. На Вебсайті підтримується в актуальному стані інформація про організації, заклади охорони здоров’я та/або медичних працівників, які лікують ігрову залежність, а також про надавачів соціальної послуги соціально-психологічної реабілітації осіб із ігровою залежністю, із контактними даними та номером телефону служби підтримки. Оновлення такого переліку та контактних даних не потребує внесення змін до цих Принципів.</w:t>
      </w:r>
    </w:p>
    <w:p w:rsidR="00B27C7D" w:rsidRPr="00FA2CEC" w:rsidRDefault="005D7BE8">
      <w:pPr>
        <w:spacing w:after="20" w:line="240" w:lineRule="auto"/>
        <w:jc w:val="both"/>
        <w:rPr>
          <w:rFonts w:ascii="Times New Roman" w:hAnsi="Times New Roman" w:cs="Times New Roman"/>
          <w:sz w:val="24"/>
          <w:szCs w:val="24"/>
          <w:lang w:val="ru-RU"/>
        </w:rPr>
      </w:pPr>
      <w:r w:rsidRPr="00FA2CEC">
        <w:rPr>
          <w:rFonts w:ascii="Times New Roman" w:eastAsia="Times New Roman" w:hAnsi="Times New Roman" w:cs="Times New Roman"/>
          <w:sz w:val="24"/>
          <w:szCs w:val="24"/>
          <w:lang w:val="ru-RU"/>
        </w:rPr>
        <w:t>7.3. Товариство забезпечує доступність на Вебсайті інформації про способи самообмеження та порядок подання заяви про самообмеження. Зразок заяви і актуальні канали її подання визначаються відповідно до законодавства та інформації Уповноваженого органу.</w:t>
      </w:r>
    </w:p>
    <w:p w:rsidR="00B27C7D" w:rsidRPr="00FA2CEC" w:rsidRDefault="005D7BE8">
      <w:pPr>
        <w:spacing w:after="20" w:line="240" w:lineRule="auto"/>
        <w:jc w:val="both"/>
        <w:rPr>
          <w:rFonts w:ascii="Times New Roman" w:hAnsi="Times New Roman" w:cs="Times New Roman"/>
          <w:sz w:val="24"/>
          <w:szCs w:val="24"/>
          <w:lang w:val="ru-RU"/>
        </w:rPr>
      </w:pPr>
      <w:r w:rsidRPr="00FA2CEC">
        <w:rPr>
          <w:rFonts w:ascii="Times New Roman" w:eastAsia="Times New Roman" w:hAnsi="Times New Roman" w:cs="Times New Roman"/>
          <w:sz w:val="24"/>
          <w:szCs w:val="24"/>
          <w:lang w:val="ru-RU"/>
        </w:rPr>
        <w:t>7.4. Товариство здійснює консультаційну підтримку гравців з питань ігрової залежності за допомогою онлайн-форм та/або телефону служби підтримки, доступних на Вебсайті, та надає інформацію про доступні інструменти самоконтролю, самообмеження і способи отримання професійної допомоги.</w:t>
      </w:r>
    </w:p>
    <w:p w:rsidR="00B27C7D" w:rsidRPr="00FA2CEC" w:rsidRDefault="005D7BE8">
      <w:pPr>
        <w:keepNext/>
        <w:spacing w:before="140" w:after="60" w:line="240" w:lineRule="auto"/>
        <w:rPr>
          <w:rFonts w:ascii="Times New Roman" w:hAnsi="Times New Roman" w:cs="Times New Roman"/>
          <w:sz w:val="24"/>
          <w:szCs w:val="24"/>
          <w:lang w:val="ru-RU"/>
        </w:rPr>
      </w:pPr>
      <w:r w:rsidRPr="00FA2CEC">
        <w:rPr>
          <w:rFonts w:ascii="Times New Roman" w:eastAsia="Times New Roman" w:hAnsi="Times New Roman" w:cs="Times New Roman"/>
          <w:b/>
          <w:sz w:val="24"/>
          <w:szCs w:val="24"/>
          <w:lang w:val="ru-RU"/>
        </w:rPr>
        <w:lastRenderedPageBreak/>
        <w:t>8. ВИМОГИ ДО ПЕРСОНАЛУ ТА ВНУТРІШНІ ЗАХОДИ</w:t>
      </w:r>
    </w:p>
    <w:p w:rsidR="00B27C7D" w:rsidRPr="00FA2CEC" w:rsidRDefault="005D7BE8">
      <w:pPr>
        <w:spacing w:after="20" w:line="240" w:lineRule="auto"/>
        <w:jc w:val="both"/>
        <w:rPr>
          <w:rFonts w:ascii="Times New Roman" w:hAnsi="Times New Roman" w:cs="Times New Roman"/>
          <w:sz w:val="24"/>
          <w:szCs w:val="24"/>
          <w:lang w:val="ru-RU"/>
        </w:rPr>
      </w:pPr>
      <w:r w:rsidRPr="00FA2CEC">
        <w:rPr>
          <w:rFonts w:ascii="Times New Roman" w:eastAsia="Times New Roman" w:hAnsi="Times New Roman" w:cs="Times New Roman"/>
          <w:sz w:val="24"/>
          <w:szCs w:val="24"/>
          <w:lang w:val="ru-RU"/>
        </w:rPr>
        <w:t>8.1. Товариство забезпечує періодичне проведення інструктажів працівників, які безпосередньо взаємодіють із гравцями, щодо принципів відповідального ставлення до азартних ігор, ознак патологічної та проблемної ігрової залежності, вікових обмежень, недопуску осіб із Реєстру, самообмеження та заходів, спрямованих на запобігання виникненню ігрової залежності.</w:t>
      </w:r>
    </w:p>
    <w:p w:rsidR="00B27C7D" w:rsidRPr="00FA2CEC" w:rsidRDefault="005D7BE8">
      <w:pPr>
        <w:spacing w:after="20" w:line="240" w:lineRule="auto"/>
        <w:jc w:val="both"/>
        <w:rPr>
          <w:rFonts w:ascii="Times New Roman" w:hAnsi="Times New Roman" w:cs="Times New Roman"/>
          <w:sz w:val="24"/>
          <w:szCs w:val="24"/>
          <w:lang w:val="ru-RU"/>
        </w:rPr>
      </w:pPr>
      <w:r w:rsidRPr="00FA2CEC">
        <w:rPr>
          <w:rFonts w:ascii="Times New Roman" w:eastAsia="Times New Roman" w:hAnsi="Times New Roman" w:cs="Times New Roman"/>
          <w:sz w:val="24"/>
          <w:szCs w:val="24"/>
          <w:lang w:val="ru-RU"/>
        </w:rPr>
        <w:t>8.2. Товариство зберігає документи, що підтверджують проведення обов’язкових інструктажів та інші вжиті заходи відповідальної гри, у межах строків, установлених законодавством та внутрішніми правилами.</w:t>
      </w:r>
    </w:p>
    <w:p w:rsidR="00B27C7D" w:rsidRPr="00FA2CEC" w:rsidRDefault="005D7BE8">
      <w:pPr>
        <w:spacing w:after="20" w:line="240" w:lineRule="auto"/>
        <w:jc w:val="both"/>
        <w:rPr>
          <w:rFonts w:ascii="Times New Roman" w:hAnsi="Times New Roman" w:cs="Times New Roman"/>
          <w:sz w:val="24"/>
          <w:szCs w:val="24"/>
          <w:lang w:val="ru-RU"/>
        </w:rPr>
      </w:pPr>
      <w:r w:rsidRPr="00FA2CEC">
        <w:rPr>
          <w:rFonts w:ascii="Times New Roman" w:eastAsia="Times New Roman" w:hAnsi="Times New Roman" w:cs="Times New Roman"/>
          <w:sz w:val="24"/>
          <w:szCs w:val="24"/>
          <w:lang w:val="ru-RU"/>
        </w:rPr>
        <w:t>8.3. Товариство забезпечує поширення соціально важливої інформації з питань відповідальної гри, профілактики ігрової залежності та можливості отримання соціальної підтримки, а також може підтримувати відповідні соціальні ініціативи, проєкти, програми та дослідження.</w:t>
      </w:r>
    </w:p>
    <w:p w:rsidR="00B27C7D" w:rsidRPr="00FA2CEC" w:rsidRDefault="005D7BE8">
      <w:pPr>
        <w:spacing w:after="20" w:line="240" w:lineRule="auto"/>
        <w:jc w:val="both"/>
        <w:rPr>
          <w:rFonts w:ascii="Times New Roman" w:hAnsi="Times New Roman" w:cs="Times New Roman"/>
          <w:sz w:val="24"/>
          <w:szCs w:val="24"/>
          <w:lang w:val="ru-RU"/>
        </w:rPr>
      </w:pPr>
      <w:r w:rsidRPr="00FA2CEC">
        <w:rPr>
          <w:rFonts w:ascii="Times New Roman" w:eastAsia="Times New Roman" w:hAnsi="Times New Roman" w:cs="Times New Roman"/>
          <w:sz w:val="24"/>
          <w:szCs w:val="24"/>
          <w:lang w:val="ru-RU"/>
        </w:rPr>
        <w:t>8.4. Товариство забезпечує підготовку та подання звітності про вжиті заходи для профілактики та боротьби з ігровою залежністю (лудоманією) відповідно до нормативно-правових актів, чинних для відповідного звітного періоду.</w:t>
      </w:r>
    </w:p>
    <w:p w:rsidR="00B27C7D" w:rsidRPr="00FA2CEC" w:rsidRDefault="005D7BE8">
      <w:pPr>
        <w:keepNext/>
        <w:spacing w:before="140" w:after="60" w:line="240" w:lineRule="auto"/>
        <w:rPr>
          <w:rFonts w:ascii="Times New Roman" w:hAnsi="Times New Roman" w:cs="Times New Roman"/>
          <w:sz w:val="24"/>
          <w:szCs w:val="24"/>
          <w:lang w:val="ru-RU"/>
        </w:rPr>
      </w:pPr>
      <w:r w:rsidRPr="00FA2CEC">
        <w:rPr>
          <w:rFonts w:ascii="Times New Roman" w:eastAsia="Times New Roman" w:hAnsi="Times New Roman" w:cs="Times New Roman"/>
          <w:b/>
          <w:sz w:val="24"/>
          <w:szCs w:val="24"/>
          <w:lang w:val="ru-RU"/>
        </w:rPr>
        <w:t>9. ЗАКЛЮЧНІ ПОЛОЖЕННЯ</w:t>
      </w:r>
    </w:p>
    <w:p w:rsidR="00B27C7D" w:rsidRPr="00FA2CEC" w:rsidRDefault="005D7BE8">
      <w:pPr>
        <w:spacing w:after="20" w:line="240" w:lineRule="auto"/>
        <w:jc w:val="both"/>
        <w:rPr>
          <w:rFonts w:ascii="Times New Roman" w:hAnsi="Times New Roman" w:cs="Times New Roman"/>
          <w:sz w:val="24"/>
          <w:szCs w:val="24"/>
          <w:lang w:val="ru-RU"/>
        </w:rPr>
      </w:pPr>
      <w:r w:rsidRPr="00FA2CEC">
        <w:rPr>
          <w:rFonts w:ascii="Times New Roman" w:eastAsia="Times New Roman" w:hAnsi="Times New Roman" w:cs="Times New Roman"/>
          <w:sz w:val="24"/>
          <w:szCs w:val="24"/>
          <w:lang w:val="ru-RU"/>
        </w:rPr>
        <w:t>9.1. Ці Принципи набирають чинності з дати, визначеної наказом Товариства про їх затвердження.</w:t>
      </w:r>
    </w:p>
    <w:p w:rsidR="00B27C7D" w:rsidRPr="00FA2CEC" w:rsidRDefault="005D7BE8">
      <w:pPr>
        <w:spacing w:after="20" w:line="240" w:lineRule="auto"/>
        <w:jc w:val="both"/>
        <w:rPr>
          <w:rFonts w:ascii="Times New Roman" w:hAnsi="Times New Roman" w:cs="Times New Roman"/>
          <w:sz w:val="24"/>
          <w:szCs w:val="24"/>
          <w:lang w:val="ru-RU"/>
        </w:rPr>
      </w:pPr>
      <w:r w:rsidRPr="00FA2CEC">
        <w:rPr>
          <w:rFonts w:ascii="Times New Roman" w:eastAsia="Times New Roman" w:hAnsi="Times New Roman" w:cs="Times New Roman"/>
          <w:sz w:val="24"/>
          <w:szCs w:val="24"/>
          <w:lang w:val="ru-RU"/>
        </w:rPr>
        <w:t>9.2. У разі зміни законодавства імперативні вимоги законодавства застосовуються незалежно від дати внесення відповідних змін до цих Принципів.</w:t>
      </w:r>
    </w:p>
    <w:p w:rsidR="00B27C7D" w:rsidRPr="00FA2CEC" w:rsidRDefault="005D7BE8">
      <w:pPr>
        <w:spacing w:after="20" w:line="240" w:lineRule="auto"/>
        <w:jc w:val="both"/>
        <w:rPr>
          <w:rFonts w:ascii="Times New Roman" w:hAnsi="Times New Roman" w:cs="Times New Roman"/>
          <w:sz w:val="24"/>
          <w:szCs w:val="24"/>
          <w:lang w:val="ru-RU"/>
        </w:rPr>
      </w:pPr>
      <w:r w:rsidRPr="00FA2CEC">
        <w:rPr>
          <w:rFonts w:ascii="Times New Roman" w:eastAsia="Times New Roman" w:hAnsi="Times New Roman" w:cs="Times New Roman"/>
          <w:sz w:val="24"/>
          <w:szCs w:val="24"/>
          <w:lang w:val="ru-RU"/>
        </w:rPr>
        <w:t>9.3. Принципи переглядаються у разі істотної зміни нормативних вимог, моделі діяльності Товариства, офіційного вебсайту або інших фактичних обставин, які безпосередньо впливають на зміст цього документа.</w:t>
      </w:r>
    </w:p>
    <w:sectPr w:rsidR="00B27C7D" w:rsidRPr="00FA2CEC" w:rsidSect="00034616">
      <w:headerReference w:type="default" r:id="rId8"/>
      <w:footerReference w:type="default" r:id="rId9"/>
      <w:pgSz w:w="12240" w:h="15840"/>
      <w:pgMar w:top="907" w:right="907" w:bottom="850" w:left="1247"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066E5" w:rsidRDefault="003066E5">
      <w:pPr>
        <w:spacing w:after="0" w:line="240" w:lineRule="auto"/>
      </w:pPr>
      <w:r>
        <w:separator/>
      </w:r>
    </w:p>
  </w:endnote>
  <w:endnote w:type="continuationSeparator" w:id="0">
    <w:p w:rsidR="003066E5" w:rsidRDefault="003066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w:panose1 w:val="020F0502020204030204"/>
    <w:charset w:val="CC"/>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3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27C7D" w:rsidRDefault="005D7BE8">
    <w:pPr>
      <w:pStyle w:val="a7"/>
      <w:jc w:val="center"/>
    </w:pPr>
    <w:r>
      <w:rPr>
        <w:rFonts w:ascii="Times New Roman" w:eastAsia="Times New Roman" w:hAnsi="Times New Roman"/>
        <w:sz w:val="17"/>
      </w:rPr>
      <w:fldChar w:fldCharType="begin"/>
    </w:r>
    <w:r>
      <w:rPr>
        <w:rFonts w:ascii="Times New Roman" w:eastAsia="Times New Roman" w:hAnsi="Times New Roman"/>
        <w:sz w:val="17"/>
      </w:rPr>
      <w:instrText xml:space="preserve"> PAGE </w:instrText>
    </w:r>
    <w:r>
      <w:rPr>
        <w:rFonts w:ascii="Times New Roman" w:eastAsia="Times New Roman" w:hAnsi="Times New Roman"/>
        <w:sz w:val="17"/>
      </w:rPr>
      <w:fldChar w:fldCharType="separate"/>
    </w:r>
    <w:r w:rsidR="008B5F61">
      <w:rPr>
        <w:rFonts w:ascii="Times New Roman" w:eastAsia="Times New Roman" w:hAnsi="Times New Roman"/>
        <w:noProof/>
        <w:sz w:val="17"/>
      </w:rPr>
      <w:t>1</w:t>
    </w:r>
    <w:r>
      <w:rPr>
        <w:rFonts w:ascii="Times New Roman" w:eastAsia="Times New Roman" w:hAnsi="Times New Roman"/>
        <w:sz w:val="17"/>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066E5" w:rsidRDefault="003066E5">
      <w:pPr>
        <w:spacing w:after="0" w:line="240" w:lineRule="auto"/>
      </w:pPr>
      <w:r>
        <w:separator/>
      </w:r>
    </w:p>
  </w:footnote>
  <w:footnote w:type="continuationSeparator" w:id="0">
    <w:p w:rsidR="003066E5" w:rsidRDefault="003066E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27C7D" w:rsidRDefault="00B27C7D">
    <w:pPr>
      <w:pStyle w:val="a5"/>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30"/>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20"/>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a"/>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a0"/>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066E5"/>
    <w:rsid w:val="00326F90"/>
    <w:rsid w:val="005D7BE8"/>
    <w:rsid w:val="008B5F61"/>
    <w:rsid w:val="00AA1D8D"/>
    <w:rsid w:val="00B27C7D"/>
    <w:rsid w:val="00B47730"/>
    <w:rsid w:val="00CB0664"/>
    <w:rsid w:val="00FA2CEC"/>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02D1FFC"/>
  <w14:defaultImageDpi w14:val="300"/>
  <w15:docId w15:val="{5EEAE133-D95B-47EC-BD04-2CF4669533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FC693F"/>
  </w:style>
  <w:style w:type="paragraph" w:styleId="1">
    <w:name w:val="heading 1"/>
    <w:basedOn w:val="a1"/>
    <w:next w:val="a1"/>
    <w:link w:val="10"/>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1">
    <w:name w:val="heading 2"/>
    <w:basedOn w:val="a1"/>
    <w:next w:val="a1"/>
    <w:link w:val="22"/>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1">
    <w:name w:val="heading 3"/>
    <w:basedOn w:val="a1"/>
    <w:next w:val="a1"/>
    <w:link w:val="32"/>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1"/>
    <w:next w:val="a1"/>
    <w:link w:val="40"/>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1"/>
    <w:next w:val="a1"/>
    <w:link w:val="50"/>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1"/>
    <w:next w:val="a1"/>
    <w:link w:val="60"/>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1"/>
    <w:next w:val="a1"/>
    <w:link w:val="70"/>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1"/>
    <w:next w:val="a1"/>
    <w:link w:val="80"/>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9">
    <w:name w:val="heading 9"/>
    <w:basedOn w:val="a1"/>
    <w:next w:val="a1"/>
    <w:link w:val="90"/>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a6"/>
    <w:uiPriority w:val="99"/>
    <w:unhideWhenUsed/>
    <w:rsid w:val="00E618BF"/>
    <w:pPr>
      <w:tabs>
        <w:tab w:val="center" w:pos="4680"/>
        <w:tab w:val="right" w:pos="9360"/>
      </w:tabs>
      <w:spacing w:after="0" w:line="240" w:lineRule="auto"/>
    </w:pPr>
  </w:style>
  <w:style w:type="character" w:customStyle="1" w:styleId="a6">
    <w:name w:val="Верхний колонтитул Знак"/>
    <w:basedOn w:val="a2"/>
    <w:link w:val="a5"/>
    <w:uiPriority w:val="99"/>
    <w:rsid w:val="00E618BF"/>
  </w:style>
  <w:style w:type="paragraph" w:styleId="a7">
    <w:name w:val="footer"/>
    <w:basedOn w:val="a1"/>
    <w:link w:val="a8"/>
    <w:uiPriority w:val="99"/>
    <w:unhideWhenUsed/>
    <w:rsid w:val="00E618BF"/>
    <w:pPr>
      <w:tabs>
        <w:tab w:val="center" w:pos="4680"/>
        <w:tab w:val="right" w:pos="9360"/>
      </w:tabs>
      <w:spacing w:after="0" w:line="240" w:lineRule="auto"/>
    </w:pPr>
  </w:style>
  <w:style w:type="character" w:customStyle="1" w:styleId="a8">
    <w:name w:val="Нижний колонтитул Знак"/>
    <w:basedOn w:val="a2"/>
    <w:link w:val="a7"/>
    <w:uiPriority w:val="99"/>
    <w:rsid w:val="00E618BF"/>
  </w:style>
  <w:style w:type="paragraph" w:styleId="a9">
    <w:name w:val="No Spacing"/>
    <w:uiPriority w:val="1"/>
    <w:qFormat/>
    <w:rsid w:val="00FC693F"/>
    <w:pPr>
      <w:spacing w:after="0" w:line="240" w:lineRule="auto"/>
    </w:pPr>
  </w:style>
  <w:style w:type="character" w:customStyle="1" w:styleId="10">
    <w:name w:val="Заголовок 1 Знак"/>
    <w:basedOn w:val="a2"/>
    <w:link w:val="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22">
    <w:name w:val="Заголовок 2 Знак"/>
    <w:basedOn w:val="a2"/>
    <w:link w:val="21"/>
    <w:uiPriority w:val="9"/>
    <w:rsid w:val="00FC693F"/>
    <w:rPr>
      <w:rFonts w:asciiTheme="majorHAnsi" w:eastAsiaTheme="majorEastAsia" w:hAnsiTheme="majorHAnsi" w:cstheme="majorBidi"/>
      <w:b/>
      <w:bCs/>
      <w:color w:val="4F81BD" w:themeColor="accent1"/>
      <w:sz w:val="26"/>
      <w:szCs w:val="26"/>
    </w:rPr>
  </w:style>
  <w:style w:type="character" w:customStyle="1" w:styleId="32">
    <w:name w:val="Заголовок 3 Знак"/>
    <w:basedOn w:val="a2"/>
    <w:link w:val="31"/>
    <w:uiPriority w:val="9"/>
    <w:rsid w:val="00FC693F"/>
    <w:rPr>
      <w:rFonts w:asciiTheme="majorHAnsi" w:eastAsiaTheme="majorEastAsia" w:hAnsiTheme="majorHAnsi" w:cstheme="majorBidi"/>
      <w:b/>
      <w:bCs/>
      <w:color w:val="4F81BD" w:themeColor="accent1"/>
    </w:rPr>
  </w:style>
  <w:style w:type="paragraph" w:styleId="aa">
    <w:name w:val="Title"/>
    <w:basedOn w:val="a1"/>
    <w:next w:val="a1"/>
    <w:link w:val="ab"/>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b">
    <w:name w:val="Заголовок Знак"/>
    <w:basedOn w:val="a2"/>
    <w:link w:val="aa"/>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ac">
    <w:name w:val="Subtitle"/>
    <w:basedOn w:val="a1"/>
    <w:next w:val="a1"/>
    <w:link w:val="ad"/>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d">
    <w:name w:val="Подзаголовок Знак"/>
    <w:basedOn w:val="a2"/>
    <w:link w:val="ac"/>
    <w:uiPriority w:val="11"/>
    <w:rsid w:val="00FC693F"/>
    <w:rPr>
      <w:rFonts w:asciiTheme="majorHAnsi" w:eastAsiaTheme="majorEastAsia" w:hAnsiTheme="majorHAnsi" w:cstheme="majorBidi"/>
      <w:i/>
      <w:iCs/>
      <w:color w:val="4F81BD" w:themeColor="accent1"/>
      <w:spacing w:val="15"/>
      <w:sz w:val="24"/>
      <w:szCs w:val="24"/>
    </w:rPr>
  </w:style>
  <w:style w:type="paragraph" w:styleId="ae">
    <w:name w:val="List Paragraph"/>
    <w:basedOn w:val="a1"/>
    <w:uiPriority w:val="34"/>
    <w:qFormat/>
    <w:rsid w:val="00FC693F"/>
    <w:pPr>
      <w:ind w:left="720"/>
      <w:contextualSpacing/>
    </w:pPr>
  </w:style>
  <w:style w:type="paragraph" w:styleId="af">
    <w:name w:val="Body Text"/>
    <w:basedOn w:val="a1"/>
    <w:link w:val="af0"/>
    <w:uiPriority w:val="99"/>
    <w:unhideWhenUsed/>
    <w:rsid w:val="00AA1D8D"/>
    <w:pPr>
      <w:spacing w:after="120"/>
    </w:pPr>
  </w:style>
  <w:style w:type="character" w:customStyle="1" w:styleId="af0">
    <w:name w:val="Основной текст Знак"/>
    <w:basedOn w:val="a2"/>
    <w:link w:val="af"/>
    <w:uiPriority w:val="99"/>
    <w:rsid w:val="00AA1D8D"/>
  </w:style>
  <w:style w:type="paragraph" w:styleId="23">
    <w:name w:val="Body Text 2"/>
    <w:basedOn w:val="a1"/>
    <w:link w:val="24"/>
    <w:uiPriority w:val="99"/>
    <w:unhideWhenUsed/>
    <w:rsid w:val="00AA1D8D"/>
    <w:pPr>
      <w:spacing w:after="120" w:line="480" w:lineRule="auto"/>
    </w:pPr>
  </w:style>
  <w:style w:type="character" w:customStyle="1" w:styleId="24">
    <w:name w:val="Основной текст 2 Знак"/>
    <w:basedOn w:val="a2"/>
    <w:link w:val="23"/>
    <w:uiPriority w:val="99"/>
    <w:rsid w:val="00AA1D8D"/>
  </w:style>
  <w:style w:type="paragraph" w:styleId="33">
    <w:name w:val="Body Text 3"/>
    <w:basedOn w:val="a1"/>
    <w:link w:val="34"/>
    <w:uiPriority w:val="99"/>
    <w:unhideWhenUsed/>
    <w:rsid w:val="00AA1D8D"/>
    <w:pPr>
      <w:spacing w:after="120"/>
    </w:pPr>
    <w:rPr>
      <w:sz w:val="16"/>
      <w:szCs w:val="16"/>
    </w:rPr>
  </w:style>
  <w:style w:type="character" w:customStyle="1" w:styleId="34">
    <w:name w:val="Основной текст 3 Знак"/>
    <w:basedOn w:val="a2"/>
    <w:link w:val="33"/>
    <w:uiPriority w:val="99"/>
    <w:rsid w:val="00AA1D8D"/>
    <w:rPr>
      <w:sz w:val="16"/>
      <w:szCs w:val="16"/>
    </w:rPr>
  </w:style>
  <w:style w:type="paragraph" w:styleId="af1">
    <w:name w:val="List"/>
    <w:basedOn w:val="a1"/>
    <w:uiPriority w:val="99"/>
    <w:unhideWhenUsed/>
    <w:rsid w:val="00AA1D8D"/>
    <w:pPr>
      <w:ind w:left="360" w:hanging="360"/>
      <w:contextualSpacing/>
    </w:pPr>
  </w:style>
  <w:style w:type="paragraph" w:styleId="25">
    <w:name w:val="List 2"/>
    <w:basedOn w:val="a1"/>
    <w:uiPriority w:val="99"/>
    <w:unhideWhenUsed/>
    <w:rsid w:val="00326F90"/>
    <w:pPr>
      <w:ind w:left="720" w:hanging="360"/>
      <w:contextualSpacing/>
    </w:pPr>
  </w:style>
  <w:style w:type="paragraph" w:styleId="35">
    <w:name w:val="List 3"/>
    <w:basedOn w:val="a1"/>
    <w:uiPriority w:val="99"/>
    <w:unhideWhenUsed/>
    <w:rsid w:val="00326F90"/>
    <w:pPr>
      <w:ind w:left="1080" w:hanging="360"/>
      <w:contextualSpacing/>
    </w:pPr>
  </w:style>
  <w:style w:type="paragraph" w:styleId="a0">
    <w:name w:val="List Bullet"/>
    <w:basedOn w:val="a1"/>
    <w:uiPriority w:val="99"/>
    <w:unhideWhenUsed/>
    <w:rsid w:val="00326F90"/>
    <w:pPr>
      <w:numPr>
        <w:numId w:val="1"/>
      </w:numPr>
      <w:contextualSpacing/>
    </w:pPr>
  </w:style>
  <w:style w:type="paragraph" w:styleId="20">
    <w:name w:val="List Bullet 2"/>
    <w:basedOn w:val="a1"/>
    <w:uiPriority w:val="99"/>
    <w:unhideWhenUsed/>
    <w:rsid w:val="00326F90"/>
    <w:pPr>
      <w:numPr>
        <w:numId w:val="2"/>
      </w:numPr>
      <w:contextualSpacing/>
    </w:pPr>
  </w:style>
  <w:style w:type="paragraph" w:styleId="30">
    <w:name w:val="List Bullet 3"/>
    <w:basedOn w:val="a1"/>
    <w:uiPriority w:val="99"/>
    <w:unhideWhenUsed/>
    <w:rsid w:val="00326F90"/>
    <w:pPr>
      <w:numPr>
        <w:numId w:val="3"/>
      </w:numPr>
      <w:contextualSpacing/>
    </w:pPr>
  </w:style>
  <w:style w:type="paragraph" w:styleId="a">
    <w:name w:val="List Number"/>
    <w:basedOn w:val="a1"/>
    <w:uiPriority w:val="99"/>
    <w:unhideWhenUsed/>
    <w:rsid w:val="00326F90"/>
    <w:pPr>
      <w:numPr>
        <w:numId w:val="5"/>
      </w:numPr>
      <w:contextualSpacing/>
    </w:pPr>
  </w:style>
  <w:style w:type="paragraph" w:styleId="2">
    <w:name w:val="List Number 2"/>
    <w:basedOn w:val="a1"/>
    <w:uiPriority w:val="99"/>
    <w:unhideWhenUsed/>
    <w:rsid w:val="0029639D"/>
    <w:pPr>
      <w:numPr>
        <w:numId w:val="6"/>
      </w:numPr>
      <w:contextualSpacing/>
    </w:pPr>
  </w:style>
  <w:style w:type="paragraph" w:styleId="3">
    <w:name w:val="List Number 3"/>
    <w:basedOn w:val="a1"/>
    <w:uiPriority w:val="99"/>
    <w:unhideWhenUsed/>
    <w:rsid w:val="0029639D"/>
    <w:pPr>
      <w:numPr>
        <w:numId w:val="7"/>
      </w:numPr>
      <w:contextualSpacing/>
    </w:pPr>
  </w:style>
  <w:style w:type="paragraph" w:styleId="af2">
    <w:name w:val="List Continue"/>
    <w:basedOn w:val="a1"/>
    <w:uiPriority w:val="99"/>
    <w:unhideWhenUsed/>
    <w:rsid w:val="0029639D"/>
    <w:pPr>
      <w:spacing w:after="120"/>
      <w:ind w:left="360"/>
      <w:contextualSpacing/>
    </w:pPr>
  </w:style>
  <w:style w:type="paragraph" w:styleId="26">
    <w:name w:val="List Continue 2"/>
    <w:basedOn w:val="a1"/>
    <w:uiPriority w:val="99"/>
    <w:unhideWhenUsed/>
    <w:rsid w:val="0029639D"/>
    <w:pPr>
      <w:spacing w:after="120"/>
      <w:ind w:left="720"/>
      <w:contextualSpacing/>
    </w:pPr>
  </w:style>
  <w:style w:type="paragraph" w:styleId="36">
    <w:name w:val="List Continue 3"/>
    <w:basedOn w:val="a1"/>
    <w:uiPriority w:val="99"/>
    <w:unhideWhenUsed/>
    <w:rsid w:val="0029639D"/>
    <w:pPr>
      <w:spacing w:after="120"/>
      <w:ind w:left="1080"/>
      <w:contextualSpacing/>
    </w:pPr>
  </w:style>
  <w:style w:type="paragraph" w:styleId="af3">
    <w:name w:val="macro"/>
    <w:link w:val="af4"/>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af4">
    <w:name w:val="Текст макроса Знак"/>
    <w:basedOn w:val="a2"/>
    <w:link w:val="af3"/>
    <w:uiPriority w:val="99"/>
    <w:rsid w:val="0029639D"/>
    <w:rPr>
      <w:rFonts w:ascii="Courier" w:hAnsi="Courier"/>
      <w:sz w:val="20"/>
      <w:szCs w:val="20"/>
    </w:rPr>
  </w:style>
  <w:style w:type="paragraph" w:styleId="27">
    <w:name w:val="Quote"/>
    <w:basedOn w:val="a1"/>
    <w:next w:val="a1"/>
    <w:link w:val="28"/>
    <w:uiPriority w:val="29"/>
    <w:qFormat/>
    <w:rsid w:val="00FC693F"/>
    <w:rPr>
      <w:i/>
      <w:iCs/>
      <w:color w:val="000000" w:themeColor="text1"/>
    </w:rPr>
  </w:style>
  <w:style w:type="character" w:customStyle="1" w:styleId="28">
    <w:name w:val="Цитата 2 Знак"/>
    <w:basedOn w:val="a2"/>
    <w:link w:val="27"/>
    <w:uiPriority w:val="29"/>
    <w:rsid w:val="00FC693F"/>
    <w:rPr>
      <w:i/>
      <w:iCs/>
      <w:color w:val="000000" w:themeColor="text1"/>
    </w:rPr>
  </w:style>
  <w:style w:type="character" w:customStyle="1" w:styleId="40">
    <w:name w:val="Заголовок 4 Знак"/>
    <w:basedOn w:val="a2"/>
    <w:link w:val="4"/>
    <w:uiPriority w:val="9"/>
    <w:semiHidden/>
    <w:rsid w:val="00FC693F"/>
    <w:rPr>
      <w:rFonts w:asciiTheme="majorHAnsi" w:eastAsiaTheme="majorEastAsia" w:hAnsiTheme="majorHAnsi" w:cstheme="majorBidi"/>
      <w:b/>
      <w:bCs/>
      <w:i/>
      <w:iCs/>
      <w:color w:val="4F81BD" w:themeColor="accent1"/>
    </w:rPr>
  </w:style>
  <w:style w:type="character" w:customStyle="1" w:styleId="50">
    <w:name w:val="Заголовок 5 Знак"/>
    <w:basedOn w:val="a2"/>
    <w:link w:val="5"/>
    <w:uiPriority w:val="9"/>
    <w:semiHidden/>
    <w:rsid w:val="00FC693F"/>
    <w:rPr>
      <w:rFonts w:asciiTheme="majorHAnsi" w:eastAsiaTheme="majorEastAsia" w:hAnsiTheme="majorHAnsi" w:cstheme="majorBidi"/>
      <w:color w:val="243F60" w:themeColor="accent1" w:themeShade="7F"/>
    </w:rPr>
  </w:style>
  <w:style w:type="character" w:customStyle="1" w:styleId="60">
    <w:name w:val="Заголовок 6 Знак"/>
    <w:basedOn w:val="a2"/>
    <w:link w:val="6"/>
    <w:uiPriority w:val="9"/>
    <w:semiHidden/>
    <w:rsid w:val="00FC693F"/>
    <w:rPr>
      <w:rFonts w:asciiTheme="majorHAnsi" w:eastAsiaTheme="majorEastAsia" w:hAnsiTheme="majorHAnsi" w:cstheme="majorBidi"/>
      <w:i/>
      <w:iCs/>
      <w:color w:val="243F60" w:themeColor="accent1" w:themeShade="7F"/>
    </w:rPr>
  </w:style>
  <w:style w:type="character" w:customStyle="1" w:styleId="70">
    <w:name w:val="Заголовок 7 Знак"/>
    <w:basedOn w:val="a2"/>
    <w:link w:val="7"/>
    <w:uiPriority w:val="9"/>
    <w:semiHidden/>
    <w:rsid w:val="00FC693F"/>
    <w:rPr>
      <w:rFonts w:asciiTheme="majorHAnsi" w:eastAsiaTheme="majorEastAsia" w:hAnsiTheme="majorHAnsi" w:cstheme="majorBidi"/>
      <w:i/>
      <w:iCs/>
      <w:color w:val="404040" w:themeColor="text1" w:themeTint="BF"/>
    </w:rPr>
  </w:style>
  <w:style w:type="character" w:customStyle="1" w:styleId="80">
    <w:name w:val="Заголовок 8 Знак"/>
    <w:basedOn w:val="a2"/>
    <w:link w:val="8"/>
    <w:uiPriority w:val="9"/>
    <w:semiHidden/>
    <w:rsid w:val="00FC693F"/>
    <w:rPr>
      <w:rFonts w:asciiTheme="majorHAnsi" w:eastAsiaTheme="majorEastAsia" w:hAnsiTheme="majorHAnsi" w:cstheme="majorBidi"/>
      <w:color w:val="4F81BD" w:themeColor="accent1"/>
      <w:sz w:val="20"/>
      <w:szCs w:val="20"/>
    </w:rPr>
  </w:style>
  <w:style w:type="character" w:customStyle="1" w:styleId="90">
    <w:name w:val="Заголовок 9 Знак"/>
    <w:basedOn w:val="a2"/>
    <w:link w:val="9"/>
    <w:uiPriority w:val="9"/>
    <w:semiHidden/>
    <w:rsid w:val="00FC693F"/>
    <w:rPr>
      <w:rFonts w:asciiTheme="majorHAnsi" w:eastAsiaTheme="majorEastAsia" w:hAnsiTheme="majorHAnsi" w:cstheme="majorBidi"/>
      <w:i/>
      <w:iCs/>
      <w:color w:val="404040" w:themeColor="text1" w:themeTint="BF"/>
      <w:sz w:val="20"/>
      <w:szCs w:val="20"/>
    </w:rPr>
  </w:style>
  <w:style w:type="paragraph" w:styleId="af5">
    <w:name w:val="caption"/>
    <w:basedOn w:val="a1"/>
    <w:next w:val="a1"/>
    <w:uiPriority w:val="35"/>
    <w:semiHidden/>
    <w:unhideWhenUsed/>
    <w:qFormat/>
    <w:rsid w:val="00FC693F"/>
    <w:pPr>
      <w:spacing w:line="240" w:lineRule="auto"/>
    </w:pPr>
    <w:rPr>
      <w:b/>
      <w:bCs/>
      <w:color w:val="4F81BD" w:themeColor="accent1"/>
      <w:sz w:val="18"/>
      <w:szCs w:val="18"/>
    </w:rPr>
  </w:style>
  <w:style w:type="character" w:styleId="af6">
    <w:name w:val="Strong"/>
    <w:basedOn w:val="a2"/>
    <w:uiPriority w:val="22"/>
    <w:qFormat/>
    <w:rsid w:val="00FC693F"/>
    <w:rPr>
      <w:b/>
      <w:bCs/>
    </w:rPr>
  </w:style>
  <w:style w:type="character" w:styleId="af7">
    <w:name w:val="Emphasis"/>
    <w:basedOn w:val="a2"/>
    <w:uiPriority w:val="20"/>
    <w:qFormat/>
    <w:rsid w:val="00FC693F"/>
    <w:rPr>
      <w:i/>
      <w:iCs/>
    </w:rPr>
  </w:style>
  <w:style w:type="paragraph" w:styleId="af8">
    <w:name w:val="Intense Quote"/>
    <w:basedOn w:val="a1"/>
    <w:next w:val="a1"/>
    <w:link w:val="af9"/>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af9">
    <w:name w:val="Выделенная цитата Знак"/>
    <w:basedOn w:val="a2"/>
    <w:link w:val="af8"/>
    <w:uiPriority w:val="30"/>
    <w:rsid w:val="00FC693F"/>
    <w:rPr>
      <w:b/>
      <w:bCs/>
      <w:i/>
      <w:iCs/>
      <w:color w:val="4F81BD" w:themeColor="accent1"/>
    </w:rPr>
  </w:style>
  <w:style w:type="character" w:styleId="afa">
    <w:name w:val="Subtle Emphasis"/>
    <w:basedOn w:val="a2"/>
    <w:uiPriority w:val="19"/>
    <w:qFormat/>
    <w:rsid w:val="00FC693F"/>
    <w:rPr>
      <w:i/>
      <w:iCs/>
      <w:color w:val="808080" w:themeColor="text1" w:themeTint="7F"/>
    </w:rPr>
  </w:style>
  <w:style w:type="character" w:styleId="afb">
    <w:name w:val="Intense Emphasis"/>
    <w:basedOn w:val="a2"/>
    <w:uiPriority w:val="21"/>
    <w:qFormat/>
    <w:rsid w:val="00FC693F"/>
    <w:rPr>
      <w:b/>
      <w:bCs/>
      <w:i/>
      <w:iCs/>
      <w:color w:val="4F81BD" w:themeColor="accent1"/>
    </w:rPr>
  </w:style>
  <w:style w:type="character" w:styleId="afc">
    <w:name w:val="Subtle Reference"/>
    <w:basedOn w:val="a2"/>
    <w:uiPriority w:val="31"/>
    <w:qFormat/>
    <w:rsid w:val="00FC693F"/>
    <w:rPr>
      <w:smallCaps/>
      <w:color w:val="C0504D" w:themeColor="accent2"/>
      <w:u w:val="single"/>
    </w:rPr>
  </w:style>
  <w:style w:type="character" w:styleId="afd">
    <w:name w:val="Intense Reference"/>
    <w:basedOn w:val="a2"/>
    <w:uiPriority w:val="32"/>
    <w:qFormat/>
    <w:rsid w:val="00FC693F"/>
    <w:rPr>
      <w:b/>
      <w:bCs/>
      <w:smallCaps/>
      <w:color w:val="C0504D" w:themeColor="accent2"/>
      <w:spacing w:val="5"/>
      <w:u w:val="single"/>
    </w:rPr>
  </w:style>
  <w:style w:type="character" w:styleId="afe">
    <w:name w:val="Book Title"/>
    <w:basedOn w:val="a2"/>
    <w:uiPriority w:val="33"/>
    <w:qFormat/>
    <w:rsid w:val="00FC693F"/>
    <w:rPr>
      <w:b/>
      <w:bCs/>
      <w:smallCaps/>
      <w:spacing w:val="5"/>
    </w:rPr>
  </w:style>
  <w:style w:type="paragraph" w:styleId="aff">
    <w:name w:val="TOC Heading"/>
    <w:basedOn w:val="1"/>
    <w:next w:val="a1"/>
    <w:uiPriority w:val="39"/>
    <w:semiHidden/>
    <w:unhideWhenUsed/>
    <w:qFormat/>
    <w:rsid w:val="00FC693F"/>
    <w:pPr>
      <w:outlineLvl w:val="9"/>
    </w:pPr>
  </w:style>
  <w:style w:type="table" w:styleId="aff0">
    <w:name w:val="Table Grid"/>
    <w:basedOn w:val="a3"/>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f1">
    <w:name w:val="Light Shading"/>
    <w:basedOn w:val="a3"/>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
    <w:name w:val="Light Shading Accent 1"/>
    <w:basedOn w:val="a3"/>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2">
    <w:name w:val="Light Shading Accent 2"/>
    <w:basedOn w:val="a3"/>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3">
    <w:name w:val="Light Shading Accent 3"/>
    <w:basedOn w:val="a3"/>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4">
    <w:name w:val="Light Shading Accent 4"/>
    <w:basedOn w:val="a3"/>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5">
    <w:name w:val="Light Shading Accent 5"/>
    <w:basedOn w:val="a3"/>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6">
    <w:name w:val="Light Shading Accent 6"/>
    <w:basedOn w:val="a3"/>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aff2">
    <w:name w:val="Light List"/>
    <w:basedOn w:val="a3"/>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10">
    <w:name w:val="Light List Accent 1"/>
    <w:basedOn w:val="a3"/>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20">
    <w:name w:val="Light List Accent 2"/>
    <w:basedOn w:val="a3"/>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30">
    <w:name w:val="Light List Accent 3"/>
    <w:basedOn w:val="a3"/>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40">
    <w:name w:val="Light List Accent 4"/>
    <w:basedOn w:val="a3"/>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50">
    <w:name w:val="Light List Accent 5"/>
    <w:basedOn w:val="a3"/>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60">
    <w:name w:val="Light List Accent 6"/>
    <w:basedOn w:val="a3"/>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aff3">
    <w:name w:val="Light Grid"/>
    <w:basedOn w:val="a3"/>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11">
    <w:name w:val="Light Grid Accent 1"/>
    <w:basedOn w:val="a3"/>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21">
    <w:name w:val="Light Grid Accent 2"/>
    <w:basedOn w:val="a3"/>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31">
    <w:name w:val="Light Grid Accent 3"/>
    <w:basedOn w:val="a3"/>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41">
    <w:name w:val="Light Grid Accent 4"/>
    <w:basedOn w:val="a3"/>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51">
    <w:name w:val="Light Grid Accent 5"/>
    <w:basedOn w:val="a3"/>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61">
    <w:name w:val="Light Grid Accent 6"/>
    <w:basedOn w:val="a3"/>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11">
    <w:name w:val="Medium Shading 1"/>
    <w:basedOn w:val="a3"/>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1-1">
    <w:name w:val="Medium Shading 1 Accent 1"/>
    <w:basedOn w:val="a3"/>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1-2">
    <w:name w:val="Medium Shading 1 Accent 2"/>
    <w:basedOn w:val="a3"/>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1-3">
    <w:name w:val="Medium Shading 1 Accent 3"/>
    <w:basedOn w:val="a3"/>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1-4">
    <w:name w:val="Medium Shading 1 Accent 4"/>
    <w:basedOn w:val="a3"/>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1-5">
    <w:name w:val="Medium Shading 1 Accent 5"/>
    <w:basedOn w:val="a3"/>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1-6">
    <w:name w:val="Medium Shading 1 Accent 6"/>
    <w:basedOn w:val="a3"/>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29">
    <w:name w:val="Medium Shading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1">
    <w:name w:val="Medium Shading 2 Accent 1"/>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2">
    <w:name w:val="Medium Shading 2 Accent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3">
    <w:name w:val="Medium Shading 2 Accent 3"/>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4">
    <w:name w:val="Medium Shading 2 Accent 4"/>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5">
    <w:name w:val="Medium Shading 2 Accent 5"/>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6">
    <w:name w:val="Medium Shading 2 Accent 6"/>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2">
    <w:name w:val="Medium List 1"/>
    <w:basedOn w:val="a3"/>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1-10">
    <w:name w:val="Medium List 1 Accent 1"/>
    <w:basedOn w:val="a3"/>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1-20">
    <w:name w:val="Medium List 1 Accent 2"/>
    <w:basedOn w:val="a3"/>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1-30">
    <w:name w:val="Medium List 1 Accent 3"/>
    <w:basedOn w:val="a3"/>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1-40">
    <w:name w:val="Medium List 1 Accent 4"/>
    <w:basedOn w:val="a3"/>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1-50">
    <w:name w:val="Medium List 1 Accent 5"/>
    <w:basedOn w:val="a3"/>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1-60">
    <w:name w:val="Medium List 1 Accent 6"/>
    <w:basedOn w:val="a3"/>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2a">
    <w:name w:val="Medium Lis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10">
    <w:name w:val="Medium List 2 Accent 1"/>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20">
    <w:name w:val="Medium List 2 Accen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30">
    <w:name w:val="Medium List 2 Accent 3"/>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40">
    <w:name w:val="Medium List 2 Accent 4"/>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50">
    <w:name w:val="Medium List 2 Accent 5"/>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60">
    <w:name w:val="Medium List 2 Accent 6"/>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13">
    <w:name w:val="Medium Grid 1"/>
    <w:basedOn w:val="a3"/>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11">
    <w:name w:val="Medium Grid 1 Accent 1"/>
    <w:basedOn w:val="a3"/>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1-21">
    <w:name w:val="Medium Grid 1 Accent 2"/>
    <w:basedOn w:val="a3"/>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31">
    <w:name w:val="Medium Grid 1 Accent 3"/>
    <w:basedOn w:val="a3"/>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41">
    <w:name w:val="Medium Grid 1 Accent 4"/>
    <w:basedOn w:val="a3"/>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51">
    <w:name w:val="Medium Grid 1 Accent 5"/>
    <w:basedOn w:val="a3"/>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61">
    <w:name w:val="Medium Grid 1 Accent 6"/>
    <w:basedOn w:val="a3"/>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2b">
    <w:name w:val="Medium Grid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2-11">
    <w:name w:val="Medium Grid 2 Accent 1"/>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2-21">
    <w:name w:val="Medium Grid 2 Accent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2-31">
    <w:name w:val="Medium Grid 2 Accent 3"/>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2-41">
    <w:name w:val="Medium Grid 2 Accent 4"/>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2-51">
    <w:name w:val="Medium Grid 2 Accent 5"/>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2-61">
    <w:name w:val="Medium Grid 2 Accent 6"/>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37">
    <w:name w:val="Medium Grid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3-1">
    <w:name w:val="Medium Grid 3 Accent 1"/>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3-2">
    <w:name w:val="Medium Grid 3 Accent 2"/>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3-3">
    <w:name w:val="Medium Grid 3 Accent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3-4">
    <w:name w:val="Medium Grid 3 Accent 4"/>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3-5">
    <w:name w:val="Medium Grid 3 Accent 5"/>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3-6">
    <w:name w:val="Medium Grid 3 Accent 6"/>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aff4">
    <w:name w:val="Dark List"/>
    <w:basedOn w:val="a3"/>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2">
    <w:name w:val="Dark List Accent 1"/>
    <w:basedOn w:val="a3"/>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22">
    <w:name w:val="Dark List Accent 2"/>
    <w:basedOn w:val="a3"/>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32">
    <w:name w:val="Dark List Accent 3"/>
    <w:basedOn w:val="a3"/>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42">
    <w:name w:val="Dark List Accent 4"/>
    <w:basedOn w:val="a3"/>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52">
    <w:name w:val="Dark List Accent 5"/>
    <w:basedOn w:val="a3"/>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62">
    <w:name w:val="Dark List Accent 6"/>
    <w:basedOn w:val="a3"/>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aff5">
    <w:name w:val="Colorful Shading"/>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3">
    <w:name w:val="Colorful Shading Accent 1"/>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23">
    <w:name w:val="Colorful Shading Accent 2"/>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33">
    <w:name w:val="Colorful Shading Accent 3"/>
    <w:basedOn w:val="a3"/>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43">
    <w:name w:val="Colorful Shading Accent 4"/>
    <w:basedOn w:val="a3"/>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53">
    <w:name w:val="Colorful Shading Accent 5"/>
    <w:basedOn w:val="a3"/>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63">
    <w:name w:val="Colorful Shading Accent 6"/>
    <w:basedOn w:val="a3"/>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aff6">
    <w:name w:val="Colorful List"/>
    <w:basedOn w:val="a3"/>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4">
    <w:name w:val="Colorful List Accent 1"/>
    <w:basedOn w:val="a3"/>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24">
    <w:name w:val="Colorful List Accent 2"/>
    <w:basedOn w:val="a3"/>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34">
    <w:name w:val="Colorful List Accent 3"/>
    <w:basedOn w:val="a3"/>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44">
    <w:name w:val="Colorful List Accent 4"/>
    <w:basedOn w:val="a3"/>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54">
    <w:name w:val="Colorful List Accent 5"/>
    <w:basedOn w:val="a3"/>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64">
    <w:name w:val="Colorful List Accent 6"/>
    <w:basedOn w:val="a3"/>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aff7">
    <w:name w:val="Colorful Grid"/>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5">
    <w:name w:val="Colorful Grid Accent 1"/>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25">
    <w:name w:val="Colorful Grid Accent 2"/>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35">
    <w:name w:val="Colorful Grid Accent 3"/>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45">
    <w:name w:val="Colorful Grid Accent 4"/>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55">
    <w:name w:val="Colorful Grid Accent 5"/>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65">
    <w:name w:val="Colorful Grid Accent 6"/>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B62A7C4-1D43-4530-9AC6-72C42C813A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2381</Words>
  <Characters>13574</Characters>
  <Application>Microsoft Office Word</Application>
  <DocSecurity>0</DocSecurity>
  <Lines>113</Lines>
  <Paragraphs>31</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Принципи відповідальної гри ТОВ «ПАТІ ПЛЕНЕТ» V3.0 — 03.10.2025</vt:lpstr>
      <vt:lpstr/>
    </vt:vector>
  </TitlesOfParts>
  <Manager/>
  <Company/>
  <LinksUpToDate>false</LinksUpToDate>
  <CharactersWithSpaces>15924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Принципи відповідальної гри ТОВ «ПАТІ ПЛЕНЕТ» V3.0 — 03.10.2025</dc:title>
  <dc:subject/>
  <dc:creator>python-docx</dc:creator>
  <cp:keywords/>
  <dc:description>generated by python-docx</dc:description>
  <cp:lastModifiedBy>Dmytro Maksymov</cp:lastModifiedBy>
  <cp:revision>2</cp:revision>
  <dcterms:created xsi:type="dcterms:W3CDTF">2026-09-04T10:03:00Z</dcterms:created>
  <dcterms:modified xsi:type="dcterms:W3CDTF">2026-09-04T10:03:00Z</dcterms:modified>
  <cp:category/>
</cp:coreProperties>
</file>